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4"/>
          <w:szCs w:val="44"/>
        </w:rPr>
        <w:t xml:space="preserve">Discapacidad y condiciones económicas</w:t>
      </w:r>
    </w:p>
    <w:p>
      <w:pPr>
        <w:spacing w:after="60"/>
      </w:pPr>
      <w:r>
        <w:rPr>
          <w:color w:val="52514E"/>
          <w:sz w:val="28"/>
          <w:szCs w:val="28"/>
        </w:rPr>
        <w:t xml:space="preserve">Reporte de lo recabado en la base de datos del Datatón</w:t>
      </w:r>
    </w:p>
    <w:p>
      <w:pPr>
        <w:pBdr>
          <w:bottom w:val="single" w:color="C3C2B7" w:sz="6" w:space="8"/>
        </w:pBdr>
        <w:spacing w:after="320"/>
      </w:pPr>
      <w:r>
        <w:rPr>
          <w:color w:val="52514E"/>
          <w:sz w:val="20"/>
          <w:szCs w:val="20"/>
        </w:rPr>
        <w:t xml:space="preserve">Diego Tadeo Perez Hernandez · 12 de octubre de 2026</w:t>
      </w:r>
    </w:p>
    <w:p>
      <w:pPr>
        <w:pStyle w:val="Heading1"/>
      </w:pPr>
      <w:r>
        <w:t xml:space="preserve">1. Resumen</w:t>
      </w:r>
    </w:p>
    <w:p>
      <w:pPr>
        <w:pStyle w:val="ListParagraph"/>
        <w:numPr>
          <w:ilvl w:val="0"/>
          <w:numId w:val="2"/>
        </w:numPr>
        <w:spacing w:after="70"/>
      </w:pPr>
      <w:r>
        <w:t xml:space="preserve">La base tiene </w:t>
      </w:r>
      <w:r>
        <w:rPr>
          <w:b/>
          <w:bCs/>
        </w:rPr>
        <w:t xml:space="preserve">61,748 registros y 630 columnas</w:t>
      </w:r>
      <w:r>
        <w:t xml:space="preserve">. Todas las personas que aparecen cuentan con un certificado de discapacidad.</w:t>
      </w:r>
    </w:p>
    <w:p>
      <w:pPr>
        <w:pStyle w:val="ListParagraph"/>
        <w:numPr>
          <w:ilvl w:val="0"/>
          <w:numId w:val="2"/>
        </w:numPr>
        <w:spacing w:after="70"/>
      </w:pPr>
      <w:r>
        <w:t xml:space="preserve">En Guanajuato hay 1,375 personas por lugar de nacimiento y 1,176 por lugar de residencia. </w:t>
      </w:r>
      <w:r>
        <w:rPr>
          <w:b/>
          <w:bCs/>
        </w:rPr>
        <w:t xml:space="preserve">Solo una habla una lengua indígena</w:t>
      </w:r>
      <w:r>
        <w:t xml:space="preserve">; en toda la base son 1,426.</w:t>
      </w:r>
    </w:p>
    <w:p>
      <w:pPr>
        <w:pStyle w:val="ListParagraph"/>
        <w:numPr>
          <w:ilvl w:val="0"/>
          <w:numId w:val="2"/>
        </w:numPr>
        <w:spacing w:after="70"/>
      </w:pPr>
      <w:r>
        <w:t xml:space="preserve">La base no trae ingreso, por lo que la situación económica se aproximó con un </w:t>
      </w:r>
      <w:r>
        <w:rPr>
          <w:b/>
          <w:bCs/>
        </w:rPr>
        <w:t xml:space="preserve">índice de 5 carencias</w:t>
      </w:r>
      <w:r>
        <w:t xml:space="preserve"> por persona.</w:t>
      </w:r>
    </w:p>
    <w:p>
      <w:pPr>
        <w:pStyle w:val="ListParagraph"/>
        <w:numPr>
          <w:ilvl w:val="0"/>
          <w:numId w:val="2"/>
        </w:numPr>
        <w:spacing w:after="70"/>
      </w:pPr>
      <w:r>
        <w:t xml:space="preserve">Entre los adultos de 18 a 64 años, </w:t>
      </w:r>
      <w:r>
        <w:rPr>
          <w:b/>
          <w:bCs/>
        </w:rPr>
        <w:t xml:space="preserve">a más carencias, mayor calificación de discapacidad</w:t>
      </w:r>
      <w:r>
        <w:t xml:space="preserve">: de 42.5 en promedio con 0 carencias a 52.9 con 4.</w:t>
      </w:r>
    </w:p>
    <w:p>
      <w:pPr>
        <w:pStyle w:val="ListParagraph"/>
        <w:numPr>
          <w:ilvl w:val="0"/>
          <w:numId w:val="2"/>
        </w:numPr>
        <w:spacing w:after="70"/>
      </w:pPr>
      <w:r>
        <w:rPr>
          <w:b/>
          <w:bCs/>
        </w:rPr>
        <w:t xml:space="preserve">Guanajuato promedia 2.01 carencias contra 1.43 nacional</w:t>
      </w:r>
      <w:r>
        <w:t xml:space="preserve">, el lugar 4 de 15 estados comparables.</w:t>
      </w:r>
    </w:p>
    <w:p>
      <w:pPr>
        <w:pStyle w:val="ListParagraph"/>
        <w:numPr>
          <w:ilvl w:val="0"/>
          <w:numId w:val="2"/>
        </w:numPr>
        <w:spacing w:after="70"/>
      </w:pPr>
      <w:r>
        <w:t xml:space="preserve">Además de k-means, que fue el modelo solicitado, se usaron un índice de carencias por conteo, la comparación de promedios por grupo y la correlación de Spearman. No se usó ningún otro modelo de aprendizaje automático.</w:t>
      </w:r>
    </w:p>
    <w:p>
      <w:pPr>
        <w:pStyle w:val="Heading1"/>
      </w:pPr>
      <w:r>
        <w:t xml:space="preserve">2. La base de datos</w:t>
      </w:r>
    </w:p>
    <w:p>
      <w:pPr>
        <w:spacing w:after="140"/>
      </w:pPr>
      <w:r>
        <w:t xml:space="preserve">Por sus columnas, la base corresponde a registros de certificación de discapacidad: trae la fecha y el estatus del certificado, la unidad de salud que lo emitió, los cuestionarios aplicados y la calificación resultante. En México esa certificación está regulada por la NOM-039-SSA-2023, que adopta el enfoque de la Clasificación Internacional del Funcionamiento (CIF) y la CIE-11 (Secretaría de Salud, 2024). La fuente oficial exacta del archivo conviene confirmarla con los organizadores del Datatón.</w:t>
      </w:r>
    </w:p>
    <w:p>
      <w:pPr>
        <w:keepNext/>
        <w:spacing w:after="80" w:before="160"/>
      </w:pPr>
      <w:r>
        <w:rPr>
          <w:b/>
          <w:bCs/>
          <w:sz w:val="19"/>
          <w:szCs w:val="19"/>
        </w:rPr>
        <w:t xml:space="preserve">Tabla 1.</w:t>
      </w:r>
      <w:r>
        <w:rPr>
          <w:sz w:val="19"/>
          <w:szCs w:val="19"/>
        </w:rPr>
        <w:t xml:space="preserve"> Bloques de información de la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cantSplit/>
          <w:tblHeader/>
        </w:trPr>
        <w:tc>
          <w:tcPr>
            <w:tcW w:type="dxa" w:w="1872"/>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left"/>
            </w:pPr>
            <w:r>
              <w:rPr>
                <w:b/>
                <w:bCs/>
                <w:sz w:val="19"/>
                <w:szCs w:val="19"/>
              </w:rPr>
              <w:t xml:space="preserve">Bloque</w:t>
            </w:r>
          </w:p>
        </w:tc>
        <w:tc>
          <w:tcPr>
            <w:tcW w:type="dxa" w:w="3744"/>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left"/>
            </w:pPr>
            <w:r>
              <w:rPr>
                <w:b/>
                <w:bCs/>
                <w:sz w:val="19"/>
                <w:szCs w:val="19"/>
              </w:rPr>
              <w:t xml:space="preserve">Columnas (ejemplos)</w:t>
            </w:r>
          </w:p>
        </w:tc>
        <w:tc>
          <w:tcPr>
            <w:tcW w:type="dxa" w:w="3744"/>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left"/>
            </w:pPr>
            <w:r>
              <w:rPr>
                <w:b/>
                <w:bCs/>
                <w:sz w:val="19"/>
                <w:szCs w:val="19"/>
              </w:rPr>
              <w:t xml:space="preserve">Qué contiene</w:t>
            </w:r>
          </w:p>
        </w:tc>
      </w:tr>
      <w:tr>
        <w:trPr>
          <w:cantSplit/>
        </w:trPr>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Datos de la persona</w:t>
            </w:r>
          </w:p>
        </w:tc>
        <w:tc>
          <w:tcPr>
            <w:tcW w:type="dxa" w:w="374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sexod, edad_anios, entidad_residenciad, escolaridadd, afiliacion_servicios_saludd</w:t>
            </w:r>
          </w:p>
        </w:tc>
        <w:tc>
          <w:tcPr>
            <w:tcW w:type="dxa" w:w="374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Características sociodemográficas y económicas</w:t>
            </w:r>
          </w:p>
        </w:tc>
      </w:tr>
      <w:tr>
        <w:trPr>
          <w:cantSplit/>
        </w:trPr>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WHODAS</w:t>
            </w:r>
          </w:p>
        </w:tc>
        <w:tc>
          <w:tcPr>
            <w:tcW w:type="dxa" w:w="374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whodas_d11 … whodas_calificacion</w:t>
            </w:r>
          </w:p>
        </w:tc>
        <w:tc>
          <w:tcPr>
            <w:tcW w:type="dxa" w:w="374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Cuestionario de discapacidad de la OMS (Üstün et al., 2010); lo tienen 46,419 personas</w:t>
            </w:r>
          </w:p>
        </w:tc>
      </w:tr>
      <w:tr>
        <w:trPr>
          <w:cantSplit/>
        </w:trPr>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CAPIA</w:t>
            </w:r>
          </w:p>
        </w:tc>
        <w:tc>
          <w:tcPr>
            <w:tcW w:type="dxa" w:w="374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capia_pregunta1 … capia_calificacion_final</w:t>
            </w:r>
          </w:p>
        </w:tc>
        <w:tc>
          <w:tcPr>
            <w:tcW w:type="dxa" w:w="374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Cuestionario para menores de 18 años, según la columna tipo_capia; lo tienen 15,329 personas</w:t>
            </w:r>
          </w:p>
        </w:tc>
      </w:tr>
      <w:tr>
        <w:trPr>
          <w:cantSplit/>
        </w:trPr>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Factores ambientales</w:t>
            </w:r>
          </w:p>
        </w:tc>
        <w:tc>
          <w:tcPr>
            <w:tcW w:type="dxa" w:w="374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utiliza_…, necesitaria_…, frecuencia_…, problema_…</w:t>
            </w:r>
          </w:p>
        </w:tc>
        <w:tc>
          <w:tcPr>
            <w:tcW w:type="dxa" w:w="374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Aparatos de apoyo y barreras del entorno</w:t>
            </w:r>
          </w:p>
        </w:tc>
      </w:tr>
      <w:tr>
        <w:trPr>
          <w:cantSplit/>
        </w:trPr>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Condición de salud</w:t>
            </w:r>
          </w:p>
        </w:tc>
        <w:tc>
          <w:tcPr>
            <w:tcW w:type="dxa" w:w="374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cond_salud_codigo_cie11, comorb1 … comorb5</w:t>
            </w:r>
          </w:p>
        </w:tc>
        <w:tc>
          <w:tcPr>
            <w:tcW w:type="dxa" w:w="374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Diagnóstico principal y comorbilidades en CIE-11 (OMS, 2022)</w:t>
            </w:r>
          </w:p>
        </w:tc>
      </w:tr>
      <w:tr>
        <w:trPr>
          <w:cantSplit/>
        </w:trPr>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Funciones y estructuras</w:t>
            </w:r>
          </w:p>
        </w:tc>
        <w:tc>
          <w:tcPr>
            <w:tcW w:type="dxa" w:w="374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b110 … b810, s110 … s810</w:t>
            </w:r>
          </w:p>
        </w:tc>
        <w:tc>
          <w:tcPr>
            <w:tcW w:type="dxa" w:w="374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Códigos de la CIF (OMS, 2001)</w:t>
            </w:r>
          </w:p>
        </w:tc>
      </w:tr>
      <w:tr>
        <w:trPr>
          <w:cantSplit/>
        </w:trPr>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left"/>
            </w:pPr>
            <w:r>
              <w:rPr>
                <w:b w:val="false"/>
                <w:bCs w:val="false"/>
                <w:sz w:val="19"/>
                <w:szCs w:val="19"/>
              </w:rPr>
              <w:t xml:space="preserve">Calificación</w:t>
            </w:r>
          </w:p>
        </w:tc>
        <w:tc>
          <w:tcPr>
            <w:tcW w:type="dxa" w:w="374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left"/>
            </w:pPr>
            <w:r>
              <w:rPr>
                <w:b w:val="false"/>
                <w:bCs w:val="false"/>
                <w:sz w:val="19"/>
                <w:szCs w:val="19"/>
              </w:rPr>
              <w:t xml:space="preserve">calificacion, calificacion_funciones_final, calificacion_estructuras_final</w:t>
            </w:r>
          </w:p>
        </w:tc>
        <w:tc>
          <w:tcPr>
            <w:tcW w:type="dxa" w:w="374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left"/>
            </w:pPr>
            <w:r>
              <w:rPr>
                <w:b w:val="false"/>
                <w:bCs w:val="false"/>
                <w:sz w:val="19"/>
                <w:szCs w:val="19"/>
              </w:rPr>
              <w:t xml:space="preserve">Resultado del certificado; en la base va de 25 a 97</w:t>
            </w:r>
          </w:p>
        </w:tc>
      </w:tr>
    </w:tbl>
    <w:p>
      <w:pPr>
        <w:spacing w:after="200" w:before="80"/>
      </w:pPr>
      <w:r>
        <w:rPr>
          <w:color w:val="52514E"/>
          <w:sz w:val="18"/>
          <w:szCs w:val="18"/>
        </w:rPr>
        <w:t xml:space="preserve">Las columnas que terminan en «d» traen la descripción en texto de la columna del mismo nombre, que trae la clave numérica.</w:t>
      </w:r>
    </w:p>
    <w:p>
      <w:pPr>
        <w:spacing w:after="140"/>
      </w:pPr>
      <w:r>
        <w:t xml:space="preserve">Tres observaciones sobre la calidad y el uso de la base:</w:t>
      </w:r>
    </w:p>
    <w:p>
      <w:pPr>
        <w:pStyle w:val="ListParagraph"/>
        <w:numPr>
          <w:ilvl w:val="0"/>
          <w:numId w:val="2"/>
        </w:numPr>
        <w:spacing w:after="70"/>
      </w:pPr>
      <w:r>
        <w:t xml:space="preserve">Hay una fila con una edad registrada de 2014, que se excluyó de los cálculos.</w:t>
      </w:r>
    </w:p>
    <w:p>
      <w:pPr>
        <w:pStyle w:val="ListParagraph"/>
        <w:numPr>
          <w:ilvl w:val="0"/>
          <w:numId w:val="2"/>
        </w:numPr>
        <w:spacing w:after="70"/>
      </w:pPr>
      <w:r>
        <w:t xml:space="preserve">Los registros se concentran en pocos estados: por residencia, Ciudad de México tiene 19,997, el Estado de México 15,197 y Sonora 8,034, mientras que 15 estados tienen menos de 200. Los estados no son muestras comparables en tamaño.</w:t>
      </w:r>
    </w:p>
    <w:p>
      <w:pPr>
        <w:pStyle w:val="ListParagraph"/>
        <w:numPr>
          <w:ilvl w:val="0"/>
          <w:numId w:val="2"/>
        </w:numPr>
        <w:spacing w:after="70"/>
      </w:pPr>
      <w:r>
        <w:t xml:space="preserve">El archivo de Excel tarda más de 10 minutos en leerse completo; el CSV tiene las mismas filas y se lee en segundos, por lo que los análisis posteriores usan el CSV.</w:t>
      </w:r>
    </w:p>
    <w:p>
      <w:pPr>
        <w:pStyle w:val="Heading1"/>
      </w:pPr>
      <w:r>
        <w:t xml:space="preserve">3. Guanajuato y lenguas indígenas</w:t>
      </w:r>
    </w:p>
    <w:p>
      <w:pPr>
        <w:spacing w:after="140"/>
      </w:pPr>
      <w:r>
        <w:t xml:space="preserve">Se filtraron los registros de Guanajuato y se revisó quiénes hablan una lengua indígena. Por lugar de nacimiento son 1,375 personas y solo una habla lengua indígena (otomí); por lugar de residencia son 1,176 y también solo una (náhuatl). Con un solo caso no es posible analizar lenguas dentro del estado, así que el cruce con lengua indígena se hizo a nivel nacional (sección 7).</w:t>
      </w:r>
    </w:p>
    <w:p>
      <w:pPr>
        <w:keepNext/>
        <w:spacing w:after="80" w:before="160"/>
      </w:pPr>
      <w:r>
        <w:rPr>
          <w:b/>
          <w:bCs/>
          <w:sz w:val="19"/>
          <w:szCs w:val="19"/>
        </w:rPr>
        <w:t xml:space="preserve">Tabla 2.</w:t>
      </w:r>
      <w:r>
        <w:rPr>
          <w:sz w:val="19"/>
          <w:szCs w:val="19"/>
        </w:rPr>
        <w:t xml:space="preserve"> Lenguas indígenas más habladas en toda la base (1,426 hablantes)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2"/>
        <w:gridCol w:w="2808"/>
      </w:tblGrid>
      <w:tr>
        <w:trPr>
          <w:cantSplit/>
          <w:tblHeader/>
        </w:trPr>
        <w:tc>
          <w:tcPr>
            <w:tcW w:type="dxa" w:w="6552"/>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left"/>
            </w:pPr>
            <w:r>
              <w:rPr>
                <w:b/>
                <w:bCs/>
                <w:sz w:val="19"/>
                <w:szCs w:val="19"/>
              </w:rPr>
              <w:t xml:space="preserve">Lengua</w:t>
            </w:r>
          </w:p>
        </w:tc>
        <w:tc>
          <w:tcPr>
            <w:tcW w:type="dxa" w:w="2808"/>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right"/>
            </w:pPr>
            <w:r>
              <w:rPr>
                <w:b/>
                <w:bCs/>
                <w:sz w:val="19"/>
                <w:szCs w:val="19"/>
              </w:rPr>
              <w:t xml:space="preserve">Personas</w:t>
            </w:r>
          </w:p>
        </w:tc>
      </w:tr>
      <w:tr>
        <w:trPr>
          <w:cantSplit/>
        </w:trPr>
        <w:tc>
          <w:tcPr>
            <w:tcW w:type="dxa" w:w="655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Náhuatl</w:t>
            </w:r>
          </w:p>
        </w:tc>
        <w:tc>
          <w:tcPr>
            <w:tcW w:type="dxa" w:w="2808"/>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307</w:t>
            </w:r>
          </w:p>
        </w:tc>
      </w:tr>
      <w:tr>
        <w:trPr>
          <w:cantSplit/>
        </w:trPr>
        <w:tc>
          <w:tcPr>
            <w:tcW w:type="dxa" w:w="655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Maya</w:t>
            </w:r>
          </w:p>
        </w:tc>
        <w:tc>
          <w:tcPr>
            <w:tcW w:type="dxa" w:w="2808"/>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289</w:t>
            </w:r>
          </w:p>
        </w:tc>
      </w:tr>
      <w:tr>
        <w:trPr>
          <w:cantSplit/>
        </w:trPr>
        <w:tc>
          <w:tcPr>
            <w:tcW w:type="dxa" w:w="655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Otomí</w:t>
            </w:r>
          </w:p>
        </w:tc>
        <w:tc>
          <w:tcPr>
            <w:tcW w:type="dxa" w:w="2808"/>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218</w:t>
            </w:r>
          </w:p>
        </w:tc>
      </w:tr>
      <w:tr>
        <w:trPr>
          <w:cantSplit/>
        </w:trPr>
        <w:tc>
          <w:tcPr>
            <w:tcW w:type="dxa" w:w="655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Mazahua</w:t>
            </w:r>
          </w:p>
        </w:tc>
        <w:tc>
          <w:tcPr>
            <w:tcW w:type="dxa" w:w="2808"/>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137</w:t>
            </w:r>
          </w:p>
        </w:tc>
      </w:tr>
      <w:tr>
        <w:trPr>
          <w:cantSplit/>
        </w:trPr>
        <w:tc>
          <w:tcPr>
            <w:tcW w:type="dxa" w:w="655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left"/>
            </w:pPr>
            <w:r>
              <w:rPr>
                <w:b w:val="false"/>
                <w:bCs w:val="false"/>
                <w:sz w:val="19"/>
                <w:szCs w:val="19"/>
              </w:rPr>
              <w:t xml:space="preserve">Yaqui</w:t>
            </w:r>
          </w:p>
        </w:tc>
        <w:tc>
          <w:tcPr>
            <w:tcW w:type="dxa" w:w="2808"/>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right"/>
            </w:pPr>
            <w:r>
              <w:rPr>
                <w:b w:val="false"/>
                <w:bCs w:val="false"/>
                <w:sz w:val="19"/>
                <w:szCs w:val="19"/>
              </w:rPr>
              <w:t xml:space="preserve">60</w:t>
            </w:r>
          </w:p>
        </w:tc>
      </w:tr>
    </w:tbl>
    <w:p>
      <w:pPr>
        <w:spacing w:after="200" w:before="80"/>
      </w:pPr>
      <w:r>
        <w:rPr>
          <w:color w:val="52514E"/>
          <w:sz w:val="18"/>
          <w:szCs w:val="18"/>
        </w:rPr>
        <w:t xml:space="preserve">El archivo reducido Datos_Guanajuato.xlsx contiene los registros del estado con 21 columnas seleccionadas.</w:t>
      </w:r>
    </w:p>
    <w:p>
      <w:pPr>
        <w:pStyle w:val="Heading1"/>
      </w:pPr>
      <w:r>
        <w:t xml:space="preserve">4. Modelos y métodos utilizados</w:t>
      </w:r>
    </w:p>
    <w:p>
      <w:pPr>
        <w:keepNext/>
        <w:spacing w:after="80" w:before="160"/>
      </w:pPr>
      <w:r>
        <w:rPr>
          <w:b/>
          <w:bCs/>
          <w:sz w:val="19"/>
          <w:szCs w:val="19"/>
        </w:rPr>
        <w:t xml:space="preserve">Tabla 3.</w:t>
      </w:r>
      <w:r>
        <w:rPr>
          <w:sz w:val="19"/>
          <w:szCs w:val="19"/>
        </w:rPr>
        <w:t xml:space="preserve"> Qué se usó y de dónde salió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246"/>
        <w:gridCol w:w="3463"/>
        <w:gridCol w:w="1405"/>
      </w:tblGrid>
      <w:tr>
        <w:trPr>
          <w:cantSplit/>
          <w:tblHeader/>
        </w:trPr>
        <w:tc>
          <w:tcPr>
            <w:tcW w:type="dxa" w:w="2246"/>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left"/>
            </w:pPr>
            <w:r>
              <w:rPr>
                <w:b/>
                <w:bCs/>
                <w:sz w:val="19"/>
                <w:szCs w:val="19"/>
              </w:rPr>
              <w:t xml:space="preserve">Método</w:t>
            </w:r>
          </w:p>
        </w:tc>
        <w:tc>
          <w:tcPr>
            <w:tcW w:type="dxa" w:w="2246"/>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left"/>
            </w:pPr>
            <w:r>
              <w:rPr>
                <w:b/>
                <w:bCs/>
                <w:sz w:val="19"/>
                <w:szCs w:val="19"/>
              </w:rPr>
              <w:t xml:space="preserve">Tipo</w:t>
            </w:r>
          </w:p>
        </w:tc>
        <w:tc>
          <w:tcPr>
            <w:tcW w:type="dxa" w:w="3463"/>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left"/>
            </w:pPr>
            <w:r>
              <w:rPr>
                <w:b/>
                <w:bCs/>
                <w:sz w:val="19"/>
                <w:szCs w:val="19"/>
              </w:rPr>
              <w:t xml:space="preserve">Para qué se usó</w:t>
            </w:r>
          </w:p>
        </w:tc>
        <w:tc>
          <w:tcPr>
            <w:tcW w:type="dxa" w:w="1405"/>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left"/>
            </w:pPr>
            <w:r>
              <w:rPr>
                <w:b/>
                <w:bCs/>
                <w:sz w:val="19"/>
                <w:szCs w:val="19"/>
              </w:rPr>
              <w:t xml:space="preserve">Origen</w:t>
            </w:r>
          </w:p>
        </w:tc>
      </w:tr>
      <w:tr>
        <w:trPr>
          <w:cantSplit/>
        </w:trPr>
        <w:tc>
          <w:tcPr>
            <w:tcW w:type="dxa" w:w="224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K-means</w:t>
            </w:r>
          </w:p>
        </w:tc>
        <w:tc>
          <w:tcPr>
            <w:tcW w:type="dxa" w:w="224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Aprendizaje no supervisado (agrupamiento)</w:t>
            </w:r>
          </w:p>
        </w:tc>
        <w:tc>
          <w:tcPr>
            <w:tcW w:type="dxa" w:w="3463"/>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Encontrar perfiles de personas en Guanajuato</w:t>
            </w:r>
          </w:p>
        </w:tc>
        <w:tc>
          <w:tcPr>
            <w:tcW w:type="dxa" w:w="1405"/>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Solicitado</w:t>
            </w:r>
          </w:p>
        </w:tc>
      </w:tr>
      <w:tr>
        <w:trPr>
          <w:cantSplit/>
        </w:trPr>
        <w:tc>
          <w:tcPr>
            <w:tcW w:type="dxa" w:w="224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Estandarización (media 0, desviación 1)</w:t>
            </w:r>
          </w:p>
        </w:tc>
        <w:tc>
          <w:tcPr>
            <w:tcW w:type="dxa" w:w="224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Preparación de datos</w:t>
            </w:r>
          </w:p>
        </w:tc>
        <w:tc>
          <w:tcPr>
            <w:tcW w:type="dxa" w:w="3463"/>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Que ninguna variable pese más por su escala</w:t>
            </w:r>
          </w:p>
        </w:tc>
        <w:tc>
          <w:tcPr>
            <w:tcW w:type="dxa" w:w="1405"/>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Añadido</w:t>
            </w:r>
          </w:p>
        </w:tc>
      </w:tr>
      <w:tr>
        <w:trPr>
          <w:cantSplit/>
        </w:trPr>
        <w:tc>
          <w:tcPr>
            <w:tcW w:type="dxa" w:w="224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Método del codo</w:t>
            </w:r>
          </w:p>
        </w:tc>
        <w:tc>
          <w:tcPr>
            <w:tcW w:type="dxa" w:w="224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Criterio de selección</w:t>
            </w:r>
          </w:p>
        </w:tc>
        <w:tc>
          <w:tcPr>
            <w:tcW w:type="dxa" w:w="3463"/>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Orientar cuántos grupos pedir a k-means</w:t>
            </w:r>
          </w:p>
        </w:tc>
        <w:tc>
          <w:tcPr>
            <w:tcW w:type="dxa" w:w="1405"/>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Añadido</w:t>
            </w:r>
          </w:p>
        </w:tc>
      </w:tr>
      <w:tr>
        <w:trPr>
          <w:cantSplit/>
        </w:trPr>
        <w:tc>
          <w:tcPr>
            <w:tcW w:type="dxa" w:w="224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Índice de carencias por conteo</w:t>
            </w:r>
          </w:p>
        </w:tc>
        <w:tc>
          <w:tcPr>
            <w:tcW w:type="dxa" w:w="224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Indicador, no es un modelo estadístico</w:t>
            </w:r>
          </w:p>
        </w:tc>
        <w:tc>
          <w:tcPr>
            <w:tcW w:type="dxa" w:w="3463"/>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Aproximar la pobreza sin tener ingreso</w:t>
            </w:r>
          </w:p>
        </w:tc>
        <w:tc>
          <w:tcPr>
            <w:tcW w:type="dxa" w:w="1405"/>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Añadido</w:t>
            </w:r>
          </w:p>
        </w:tc>
      </w:tr>
      <w:tr>
        <w:trPr>
          <w:cantSplit/>
        </w:trPr>
        <w:tc>
          <w:tcPr>
            <w:tcW w:type="dxa" w:w="224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Comparación de promedios por grupo</w:t>
            </w:r>
          </w:p>
        </w:tc>
        <w:tc>
          <w:tcPr>
            <w:tcW w:type="dxa" w:w="224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Estadística descriptiva</w:t>
            </w:r>
          </w:p>
        </w:tc>
        <w:tc>
          <w:tcPr>
            <w:tcW w:type="dxa" w:w="3463"/>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Ver si la discapacidad cambia con las carencias</w:t>
            </w:r>
          </w:p>
        </w:tc>
        <w:tc>
          <w:tcPr>
            <w:tcW w:type="dxa" w:w="1405"/>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Añadido</w:t>
            </w:r>
          </w:p>
        </w:tc>
      </w:tr>
      <w:tr>
        <w:trPr>
          <w:cantSplit/>
        </w:trPr>
        <w:tc>
          <w:tcPr>
            <w:tcW w:type="dxa" w:w="224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left"/>
            </w:pPr>
            <w:r>
              <w:rPr>
                <w:b w:val="false"/>
                <w:bCs w:val="false"/>
                <w:sz w:val="19"/>
                <w:szCs w:val="19"/>
              </w:rPr>
              <w:t xml:space="preserve">Correlación de Spearman</w:t>
            </w:r>
          </w:p>
        </w:tc>
        <w:tc>
          <w:tcPr>
            <w:tcW w:type="dxa" w:w="224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left"/>
            </w:pPr>
            <w:r>
              <w:rPr>
                <w:b w:val="false"/>
                <w:bCs w:val="false"/>
                <w:sz w:val="19"/>
                <w:szCs w:val="19"/>
              </w:rPr>
              <w:t xml:space="preserve">Medida de asociación por rangos</w:t>
            </w:r>
          </w:p>
        </w:tc>
        <w:tc>
          <w:tcPr>
            <w:tcW w:type="dxa" w:w="3463"/>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left"/>
            </w:pPr>
            <w:r>
              <w:rPr>
                <w:b w:val="false"/>
                <w:bCs w:val="false"/>
                <w:sz w:val="19"/>
                <w:szCs w:val="19"/>
              </w:rPr>
              <w:t xml:space="preserve">Medir qué tan fuerte es esa relación persona por persona</w:t>
            </w:r>
          </w:p>
        </w:tc>
        <w:tc>
          <w:tcPr>
            <w:tcW w:type="dxa" w:w="1405"/>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left"/>
            </w:pPr>
            <w:r>
              <w:rPr>
                <w:b w:val="false"/>
                <w:bCs w:val="false"/>
                <w:sz w:val="19"/>
                <w:szCs w:val="19"/>
              </w:rPr>
              <w:t xml:space="preserve">Añadido</w:t>
            </w:r>
          </w:p>
        </w:tc>
      </w:tr>
    </w:tbl>
    <w:p>
      <w:pPr>
        <w:spacing w:after="200" w:before="80"/>
      </w:pPr>
      <w:r>
        <w:rPr>
          <w:color w:val="52514E"/>
          <w:sz w:val="18"/>
          <w:szCs w:val="18"/>
        </w:rPr>
        <w:t xml:space="preserve">No se ajustaron regresiones ni clasificadores, y no se hicieron pruebas de significancia.</w:t>
      </w:r>
    </w:p>
    <w:p>
      <w:pPr>
        <w:pStyle w:val="Heading2"/>
      </w:pPr>
      <w:r>
        <w:t xml:space="preserve">4.1 K-means (modelo solicitado)</w:t>
      </w:r>
    </w:p>
    <w:p>
      <w:pPr>
        <w:spacing w:after="140"/>
      </w:pPr>
      <w:r>
        <w:t xml:space="preserve">K-means agrupa registros parecidos sin que se le diga de antemano qué grupos existen; solo se le indica cuántos se quieren, k (MacQueen, 1967; Lloyd, 1982). Funciona así:</w:t>
      </w:r>
    </w:p>
    <w:p>
      <w:pPr>
        <w:pStyle w:val="ListParagraph"/>
        <w:numPr>
          <w:ilvl w:val="0"/>
          <w:numId w:val="3"/>
        </w:numPr>
        <w:spacing w:after="70"/>
      </w:pPr>
      <w:r>
        <w:t xml:space="preserve">Se eligen k registros al azar como centros iniciales.</w:t>
      </w:r>
    </w:p>
    <w:p>
      <w:pPr>
        <w:pStyle w:val="ListParagraph"/>
        <w:numPr>
          <w:ilvl w:val="0"/>
          <w:numId w:val="3"/>
        </w:numPr>
        <w:spacing w:after="70"/>
      </w:pPr>
      <w:r>
        <w:t xml:space="preserve">Cada persona se asigna al centro que le queda más cerca.</w:t>
      </w:r>
    </w:p>
    <w:p>
      <w:pPr>
        <w:pStyle w:val="ListParagraph"/>
        <w:numPr>
          <w:ilvl w:val="0"/>
          <w:numId w:val="3"/>
        </w:numPr>
        <w:spacing w:after="70"/>
      </w:pPr>
      <w:r>
        <w:t xml:space="preserve">Cada centro se mueve al promedio de las personas que le tocaron.</w:t>
      </w:r>
    </w:p>
    <w:p>
      <w:pPr>
        <w:pStyle w:val="ListParagraph"/>
        <w:numPr>
          <w:ilvl w:val="0"/>
          <w:numId w:val="3"/>
        </w:numPr>
        <w:spacing w:after="70"/>
      </w:pPr>
      <w:r>
        <w:t xml:space="preserve">Se repiten los pasos 2 y 3 hasta que los centros dejan de moverse.</w:t>
      </w:r>
    </w:p>
    <w:p>
      <w:pPr>
        <w:spacing w:after="140"/>
      </w:pPr>
      <w:r>
        <w:t xml:space="preserve">Se aplicó a las personas nacidas en Guanajuato con cinco variables numéricas: edad, calificación del certificado, calificación de factores ambientales, calificación de funciones y calificación de estructuras. Antes se estandarizó cada variable y el algoritmo se repitió 10 veces con centros iniciales distintos, conservando el intento con menor inercia (la suma de las distancias al cuadrado de cada persona a su centro). Se programó directamente con NumPy (Harris et al., 2020), porque en el equipo de trabajo Windows bloqueó la carga de scikit-learn.</w:t>
      </w:r>
    </w:p>
    <w:p>
      <w:pPr>
        <w:spacing w:after="140"/>
      </w:pPr>
      <w:r>
        <w:t xml:space="preserve">Para orientar el valor de k se usó el método del codo (Thorndike, 1953): se calcula la inercia para varios valores de k y se busca el punto donde deja de bajar con fuerza. En estos datos no hay un codo claro, por lo que k = 3 se tomó como punto de partida y no como un resultado definitivo.</w:t>
      </w:r>
    </w:p>
    <w:p>
      <w:pPr>
        <w:keepNext/>
        <w:spacing w:after="80" w:before="160"/>
      </w:pPr>
      <w:r>
        <w:rPr>
          <w:b/>
          <w:bCs/>
          <w:sz w:val="19"/>
          <w:szCs w:val="19"/>
        </w:rPr>
        <w:t xml:space="preserve">Tabla 4.</w:t>
      </w:r>
      <w:r>
        <w:rPr>
          <w:sz w:val="19"/>
          <w:szCs w:val="19"/>
        </w:rPr>
        <w:t xml:space="preserve"> Inercia según el número de grupos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936"/>
        <w:gridCol w:w="936"/>
        <w:gridCol w:w="936"/>
        <w:gridCol w:w="936"/>
        <w:gridCol w:w="936"/>
        <w:gridCol w:w="936"/>
        <w:gridCol w:w="936"/>
        <w:gridCol w:w="936"/>
      </w:tblGrid>
      <w:tr>
        <w:trPr>
          <w:cantSplit/>
          <w:tblHeader/>
        </w:trPr>
        <w:tc>
          <w:tcPr>
            <w:tcW w:type="dxa" w:w="1872"/>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left"/>
            </w:pPr>
            <w:r>
              <w:rPr>
                <w:b/>
                <w:bCs/>
                <w:sz w:val="19"/>
                <w:szCs w:val="19"/>
              </w:rPr>
              <w:t xml:space="preserve">k</w:t>
            </w:r>
          </w:p>
        </w:tc>
        <w:tc>
          <w:tcPr>
            <w:tcW w:type="dxa" w:w="936"/>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right"/>
            </w:pPr>
            <w:r>
              <w:rPr>
                <w:b/>
                <w:bCs/>
                <w:sz w:val="19"/>
                <w:szCs w:val="19"/>
              </w:rPr>
              <w:t xml:space="preserve">1</w:t>
            </w:r>
          </w:p>
        </w:tc>
        <w:tc>
          <w:tcPr>
            <w:tcW w:type="dxa" w:w="936"/>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right"/>
            </w:pPr>
            <w:r>
              <w:rPr>
                <w:b/>
                <w:bCs/>
                <w:sz w:val="19"/>
                <w:szCs w:val="19"/>
              </w:rPr>
              <w:t xml:space="preserve">2</w:t>
            </w:r>
          </w:p>
        </w:tc>
        <w:tc>
          <w:tcPr>
            <w:tcW w:type="dxa" w:w="936"/>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right"/>
            </w:pPr>
            <w:r>
              <w:rPr>
                <w:b/>
                <w:bCs/>
                <w:sz w:val="19"/>
                <w:szCs w:val="19"/>
              </w:rPr>
              <w:t xml:space="preserve">3</w:t>
            </w:r>
          </w:p>
        </w:tc>
        <w:tc>
          <w:tcPr>
            <w:tcW w:type="dxa" w:w="936"/>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right"/>
            </w:pPr>
            <w:r>
              <w:rPr>
                <w:b/>
                <w:bCs/>
                <w:sz w:val="19"/>
                <w:szCs w:val="19"/>
              </w:rPr>
              <w:t xml:space="preserve">4</w:t>
            </w:r>
          </w:p>
        </w:tc>
        <w:tc>
          <w:tcPr>
            <w:tcW w:type="dxa" w:w="936"/>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right"/>
            </w:pPr>
            <w:r>
              <w:rPr>
                <w:b/>
                <w:bCs/>
                <w:sz w:val="19"/>
                <w:szCs w:val="19"/>
              </w:rPr>
              <w:t xml:space="preserve">5</w:t>
            </w:r>
          </w:p>
        </w:tc>
        <w:tc>
          <w:tcPr>
            <w:tcW w:type="dxa" w:w="936"/>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right"/>
            </w:pPr>
            <w:r>
              <w:rPr>
                <w:b/>
                <w:bCs/>
                <w:sz w:val="19"/>
                <w:szCs w:val="19"/>
              </w:rPr>
              <w:t xml:space="preserve">6</w:t>
            </w:r>
          </w:p>
        </w:tc>
        <w:tc>
          <w:tcPr>
            <w:tcW w:type="dxa" w:w="936"/>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right"/>
            </w:pPr>
            <w:r>
              <w:rPr>
                <w:b/>
                <w:bCs/>
                <w:sz w:val="19"/>
                <w:szCs w:val="19"/>
              </w:rPr>
              <w:t xml:space="preserve">7</w:t>
            </w:r>
          </w:p>
        </w:tc>
        <w:tc>
          <w:tcPr>
            <w:tcW w:type="dxa" w:w="936"/>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right"/>
            </w:pPr>
            <w:r>
              <w:rPr>
                <w:b/>
                <w:bCs/>
                <w:sz w:val="19"/>
                <w:szCs w:val="19"/>
              </w:rPr>
              <w:t xml:space="preserve">8</w:t>
            </w:r>
          </w:p>
        </w:tc>
      </w:tr>
      <w:tr>
        <w:trPr>
          <w:cantSplit/>
        </w:trPr>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left"/>
            </w:pPr>
            <w:r>
              <w:rPr>
                <w:b w:val="false"/>
                <w:bCs w:val="false"/>
                <w:sz w:val="19"/>
                <w:szCs w:val="19"/>
              </w:rPr>
              <w:t xml:space="preserve">Inercia</w:t>
            </w:r>
          </w:p>
        </w:tc>
        <w:tc>
          <w:tcPr>
            <w:tcW w:type="dxa" w:w="93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right"/>
            </w:pPr>
            <w:r>
              <w:rPr>
                <w:b w:val="false"/>
                <w:bCs w:val="false"/>
                <w:sz w:val="19"/>
                <w:szCs w:val="19"/>
              </w:rPr>
              <w:t xml:space="preserve">6,870</w:t>
            </w:r>
          </w:p>
        </w:tc>
        <w:tc>
          <w:tcPr>
            <w:tcW w:type="dxa" w:w="93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right"/>
            </w:pPr>
            <w:r>
              <w:rPr>
                <w:b w:val="false"/>
                <w:bCs w:val="false"/>
                <w:sz w:val="19"/>
                <w:szCs w:val="19"/>
              </w:rPr>
              <w:t xml:space="preserve">4,663</w:t>
            </w:r>
          </w:p>
        </w:tc>
        <w:tc>
          <w:tcPr>
            <w:tcW w:type="dxa" w:w="93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right"/>
            </w:pPr>
            <w:r>
              <w:rPr>
                <w:b w:val="false"/>
                <w:bCs w:val="false"/>
                <w:sz w:val="19"/>
                <w:szCs w:val="19"/>
              </w:rPr>
              <w:t xml:space="preserve">3,849</w:t>
            </w:r>
          </w:p>
        </w:tc>
        <w:tc>
          <w:tcPr>
            <w:tcW w:type="dxa" w:w="93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right"/>
            </w:pPr>
            <w:r>
              <w:rPr>
                <w:b w:val="false"/>
                <w:bCs w:val="false"/>
                <w:sz w:val="19"/>
                <w:szCs w:val="19"/>
              </w:rPr>
              <w:t xml:space="preserve">3,287</w:t>
            </w:r>
          </w:p>
        </w:tc>
        <w:tc>
          <w:tcPr>
            <w:tcW w:type="dxa" w:w="93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right"/>
            </w:pPr>
            <w:r>
              <w:rPr>
                <w:b w:val="false"/>
                <w:bCs w:val="false"/>
                <w:sz w:val="19"/>
                <w:szCs w:val="19"/>
              </w:rPr>
              <w:t xml:space="preserve">2,908</w:t>
            </w:r>
          </w:p>
        </w:tc>
        <w:tc>
          <w:tcPr>
            <w:tcW w:type="dxa" w:w="93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right"/>
            </w:pPr>
            <w:r>
              <w:rPr>
                <w:b w:val="false"/>
                <w:bCs w:val="false"/>
                <w:sz w:val="19"/>
                <w:szCs w:val="19"/>
              </w:rPr>
              <w:t xml:space="preserve">2,619</w:t>
            </w:r>
          </w:p>
        </w:tc>
        <w:tc>
          <w:tcPr>
            <w:tcW w:type="dxa" w:w="93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right"/>
            </w:pPr>
            <w:r>
              <w:rPr>
                <w:b w:val="false"/>
                <w:bCs w:val="false"/>
                <w:sz w:val="19"/>
                <w:szCs w:val="19"/>
              </w:rPr>
              <w:t xml:space="preserve">2,388</w:t>
            </w:r>
          </w:p>
        </w:tc>
        <w:tc>
          <w:tcPr>
            <w:tcW w:type="dxa" w:w="93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right"/>
            </w:pPr>
            <w:r>
              <w:rPr>
                <w:b w:val="false"/>
                <w:bCs w:val="false"/>
                <w:sz w:val="19"/>
                <w:szCs w:val="19"/>
              </w:rPr>
              <w:t xml:space="preserve">2,216</w:t>
            </w:r>
          </w:p>
        </w:tc>
      </w:tr>
    </w:tbl>
    <w:p>
      <w:pPr>
        <w:keepNext/>
        <w:spacing w:after="80" w:before="160"/>
      </w:pPr>
      <w:r>
        <w:rPr>
          <w:b/>
          <w:bCs/>
          <w:sz w:val="19"/>
          <w:szCs w:val="19"/>
        </w:rPr>
        <w:t xml:space="preserve">Tabla 5.</w:t>
      </w:r>
      <w:r>
        <w:rPr>
          <w:sz w:val="19"/>
          <w:szCs w:val="19"/>
        </w:rPr>
        <w:t xml:space="preserve"> Promedios de los tres grupos encontrados (1,374 personas nacidas en Guanajuato)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217"/>
        <w:gridCol w:w="1030"/>
        <w:gridCol w:w="1498"/>
        <w:gridCol w:w="2059"/>
        <w:gridCol w:w="1217"/>
        <w:gridCol w:w="1403"/>
      </w:tblGrid>
      <w:tr>
        <w:trPr>
          <w:cantSplit/>
          <w:tblHeader/>
        </w:trPr>
        <w:tc>
          <w:tcPr>
            <w:tcW w:type="dxa" w:w="936"/>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left"/>
            </w:pPr>
            <w:r>
              <w:rPr>
                <w:b/>
                <w:bCs/>
                <w:sz w:val="19"/>
                <w:szCs w:val="19"/>
              </w:rPr>
              <w:t xml:space="preserve">Grupo</w:t>
            </w:r>
          </w:p>
        </w:tc>
        <w:tc>
          <w:tcPr>
            <w:tcW w:type="dxa" w:w="1217"/>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right"/>
            </w:pPr>
            <w:r>
              <w:rPr>
                <w:b/>
                <w:bCs/>
                <w:sz w:val="19"/>
                <w:szCs w:val="19"/>
              </w:rPr>
              <w:t xml:space="preserve">Personas</w:t>
            </w:r>
          </w:p>
        </w:tc>
        <w:tc>
          <w:tcPr>
            <w:tcW w:type="dxa" w:w="1030"/>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right"/>
            </w:pPr>
            <w:r>
              <w:rPr>
                <w:b/>
                <w:bCs/>
                <w:sz w:val="19"/>
                <w:szCs w:val="19"/>
              </w:rPr>
              <w:t xml:space="preserve">Edad</w:t>
            </w:r>
          </w:p>
        </w:tc>
        <w:tc>
          <w:tcPr>
            <w:tcW w:type="dxa" w:w="1498"/>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right"/>
            </w:pPr>
            <w:r>
              <w:rPr>
                <w:b/>
                <w:bCs/>
                <w:sz w:val="19"/>
                <w:szCs w:val="19"/>
              </w:rPr>
              <w:t xml:space="preserve">Calificación</w:t>
            </w:r>
          </w:p>
        </w:tc>
        <w:tc>
          <w:tcPr>
            <w:tcW w:type="dxa" w:w="2059"/>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right"/>
            </w:pPr>
            <w:r>
              <w:rPr>
                <w:b/>
                <w:bCs/>
                <w:sz w:val="19"/>
                <w:szCs w:val="19"/>
              </w:rPr>
              <w:t xml:space="preserve">Factores ambientales</w:t>
            </w:r>
          </w:p>
        </w:tc>
        <w:tc>
          <w:tcPr>
            <w:tcW w:type="dxa" w:w="1217"/>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right"/>
            </w:pPr>
            <w:r>
              <w:rPr>
                <w:b/>
                <w:bCs/>
                <w:sz w:val="19"/>
                <w:szCs w:val="19"/>
              </w:rPr>
              <w:t xml:space="preserve">Funciones</w:t>
            </w:r>
          </w:p>
        </w:tc>
        <w:tc>
          <w:tcPr>
            <w:tcW w:type="dxa" w:w="1403"/>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right"/>
            </w:pPr>
            <w:r>
              <w:rPr>
                <w:b/>
                <w:bCs/>
                <w:sz w:val="19"/>
                <w:szCs w:val="19"/>
              </w:rPr>
              <w:t xml:space="preserve">Estructuras</w:t>
            </w:r>
          </w:p>
        </w:tc>
      </w:tr>
      <w:tr>
        <w:trPr>
          <w:cantSplit/>
        </w:trPr>
        <w:tc>
          <w:tcPr>
            <w:tcW w:type="dxa" w:w="93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0</w:t>
            </w:r>
          </w:p>
        </w:tc>
        <w:tc>
          <w:tcPr>
            <w:tcW w:type="dxa" w:w="1217"/>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457</w:t>
            </w:r>
          </w:p>
        </w:tc>
        <w:tc>
          <w:tcPr>
            <w:tcW w:type="dxa" w:w="1030"/>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54.3</w:t>
            </w:r>
          </w:p>
        </w:tc>
        <w:tc>
          <w:tcPr>
            <w:tcW w:type="dxa" w:w="1498"/>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39.8</w:t>
            </w:r>
          </w:p>
        </w:tc>
        <w:tc>
          <w:tcPr>
            <w:tcW w:type="dxa" w:w="2059"/>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5.5</w:t>
            </w:r>
          </w:p>
        </w:tc>
        <w:tc>
          <w:tcPr>
            <w:tcW w:type="dxa" w:w="1217"/>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10.3</w:t>
            </w:r>
          </w:p>
        </w:tc>
        <w:tc>
          <w:tcPr>
            <w:tcW w:type="dxa" w:w="1403"/>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5.3</w:t>
            </w:r>
          </w:p>
        </w:tc>
      </w:tr>
      <w:tr>
        <w:trPr>
          <w:cantSplit/>
        </w:trPr>
        <w:tc>
          <w:tcPr>
            <w:tcW w:type="dxa" w:w="93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1</w:t>
            </w:r>
          </w:p>
        </w:tc>
        <w:tc>
          <w:tcPr>
            <w:tcW w:type="dxa" w:w="1217"/>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364</w:t>
            </w:r>
          </w:p>
        </w:tc>
        <w:tc>
          <w:tcPr>
            <w:tcW w:type="dxa" w:w="1030"/>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33.0</w:t>
            </w:r>
          </w:p>
        </w:tc>
        <w:tc>
          <w:tcPr>
            <w:tcW w:type="dxa" w:w="1498"/>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63.2</w:t>
            </w:r>
          </w:p>
        </w:tc>
        <w:tc>
          <w:tcPr>
            <w:tcW w:type="dxa" w:w="2059"/>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6.6</w:t>
            </w:r>
          </w:p>
        </w:tc>
        <w:tc>
          <w:tcPr>
            <w:tcW w:type="dxa" w:w="1217"/>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18.7</w:t>
            </w:r>
          </w:p>
        </w:tc>
        <w:tc>
          <w:tcPr>
            <w:tcW w:type="dxa" w:w="1403"/>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13.7</w:t>
            </w:r>
          </w:p>
        </w:tc>
      </w:tr>
      <w:tr>
        <w:trPr>
          <w:cantSplit/>
        </w:trPr>
        <w:tc>
          <w:tcPr>
            <w:tcW w:type="dxa" w:w="93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left"/>
            </w:pPr>
            <w:r>
              <w:rPr>
                <w:b w:val="false"/>
                <w:bCs w:val="false"/>
                <w:sz w:val="19"/>
                <w:szCs w:val="19"/>
              </w:rPr>
              <w:t xml:space="preserve">2</w:t>
            </w:r>
          </w:p>
        </w:tc>
        <w:tc>
          <w:tcPr>
            <w:tcW w:type="dxa" w:w="1217"/>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right"/>
            </w:pPr>
            <w:r>
              <w:rPr>
                <w:b w:val="false"/>
                <w:bCs w:val="false"/>
                <w:sz w:val="19"/>
                <w:szCs w:val="19"/>
              </w:rPr>
              <w:t xml:space="preserve">553</w:t>
            </w:r>
          </w:p>
        </w:tc>
        <w:tc>
          <w:tcPr>
            <w:tcW w:type="dxa" w:w="1030"/>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right"/>
            </w:pPr>
            <w:r>
              <w:rPr>
                <w:b w:val="false"/>
                <w:bCs w:val="false"/>
                <w:sz w:val="19"/>
                <w:szCs w:val="19"/>
              </w:rPr>
              <w:t xml:space="preserve">13.3</w:t>
            </w:r>
          </w:p>
        </w:tc>
        <w:tc>
          <w:tcPr>
            <w:tcW w:type="dxa" w:w="1498"/>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right"/>
            </w:pPr>
            <w:r>
              <w:rPr>
                <w:b w:val="false"/>
                <w:bCs w:val="false"/>
                <w:sz w:val="19"/>
                <w:szCs w:val="19"/>
              </w:rPr>
              <w:t xml:space="preserve">37.4</w:t>
            </w:r>
          </w:p>
        </w:tc>
        <w:tc>
          <w:tcPr>
            <w:tcW w:type="dxa" w:w="2059"/>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right"/>
            </w:pPr>
            <w:r>
              <w:rPr>
                <w:b w:val="false"/>
                <w:bCs w:val="false"/>
                <w:sz w:val="19"/>
                <w:szCs w:val="19"/>
              </w:rPr>
              <w:t xml:space="preserve">6.4</w:t>
            </w:r>
          </w:p>
        </w:tc>
        <w:tc>
          <w:tcPr>
            <w:tcW w:type="dxa" w:w="1217"/>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right"/>
            </w:pPr>
            <w:r>
              <w:rPr>
                <w:b w:val="false"/>
                <w:bCs w:val="false"/>
                <w:sz w:val="19"/>
                <w:szCs w:val="19"/>
              </w:rPr>
              <w:t xml:space="preserve">11.0</w:t>
            </w:r>
          </w:p>
        </w:tc>
        <w:tc>
          <w:tcPr>
            <w:tcW w:type="dxa" w:w="1403"/>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right"/>
            </w:pPr>
            <w:r>
              <w:rPr>
                <w:b w:val="false"/>
                <w:bCs w:val="false"/>
                <w:sz w:val="19"/>
                <w:szCs w:val="19"/>
              </w:rPr>
              <w:t xml:space="preserve">2.3</w:t>
            </w:r>
          </w:p>
        </w:tc>
      </w:tr>
    </w:tbl>
    <w:p>
      <w:pPr>
        <w:spacing w:after="200" w:before="80"/>
      </w:pPr>
      <w:r>
        <w:rPr>
          <w:color w:val="52514E"/>
          <w:sz w:val="18"/>
          <w:szCs w:val="18"/>
        </w:rPr>
        <w:t xml:space="preserve">El grupo 1 reúne las calificaciones más altas en todo; los grupos 0 y 2 tienen calificaciones parecidas y se separan sobre todo por la edad.</w:t>
      </w:r>
    </w:p>
    <w:p>
      <w:pPr>
        <w:pStyle w:val="Heading2"/>
      </w:pPr>
      <w:r>
        <w:t xml:space="preserve">4.2 Índice de carencias (método añadido)</w:t>
      </w:r>
    </w:p>
    <w:p>
      <w:pPr>
        <w:spacing w:after="140"/>
      </w:pPr>
      <w:r>
        <w:t xml:space="preserve">La base no tiene ninguna columna de ingreso. Para poder hablar de pobreza se construyó un índice por conteo: se definen varias carencias, cada persona tiene o no tiene cada una, y se cuenta cuántas acumula (de 0 a 5). Es la misma lógica de conteo de privaciones de Alkire y Foster (2011) y la idea de carencias sociales que usa el CONEVAL (2019) en la medición multidimensional de la pobreza.</w:t>
      </w:r>
    </w:p>
    <w:p>
      <w:pPr>
        <w:keepNext/>
        <w:spacing w:after="80" w:before="160"/>
      </w:pPr>
      <w:r>
        <w:rPr>
          <w:b/>
          <w:bCs/>
          <w:sz w:val="19"/>
          <w:szCs w:val="19"/>
        </w:rPr>
        <w:t xml:space="preserve">Tabla 6.</w:t>
      </w:r>
      <w:r>
        <w:rPr>
          <w:sz w:val="19"/>
          <w:szCs w:val="19"/>
        </w:rPr>
        <w:t xml:space="preserve"> Las cinco carencias y cómo se calculan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4306"/>
        <w:gridCol w:w="2620"/>
      </w:tblGrid>
      <w:tr>
        <w:trPr>
          <w:cantSplit/>
          <w:tblHeader/>
        </w:trPr>
        <w:tc>
          <w:tcPr>
            <w:tcW w:type="dxa" w:w="2434"/>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left"/>
            </w:pPr>
            <w:r>
              <w:rPr>
                <w:b/>
                <w:bCs/>
                <w:sz w:val="19"/>
                <w:szCs w:val="19"/>
              </w:rPr>
              <w:t xml:space="preserve">Carencia</w:t>
            </w:r>
          </w:p>
        </w:tc>
        <w:tc>
          <w:tcPr>
            <w:tcW w:type="dxa" w:w="4306"/>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left"/>
            </w:pPr>
            <w:r>
              <w:rPr>
                <w:b/>
                <w:bCs/>
                <w:sz w:val="19"/>
                <w:szCs w:val="19"/>
              </w:rPr>
              <w:t xml:space="preserve">Se cumple cuando…</w:t>
            </w:r>
          </w:p>
        </w:tc>
        <w:tc>
          <w:tcPr>
            <w:tcW w:type="dxa" w:w="2620"/>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left"/>
            </w:pPr>
            <w:r>
              <w:rPr>
                <w:b/>
                <w:bCs/>
                <w:sz w:val="19"/>
                <w:szCs w:val="19"/>
              </w:rPr>
              <w:t xml:space="preserve">Columna</w:t>
            </w:r>
          </w:p>
        </w:tc>
      </w:tr>
      <w:tr>
        <w:trPr>
          <w:cantSplit/>
        </w:trPr>
        <w:tc>
          <w:tcPr>
            <w:tcW w:type="dxa" w:w="243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Sin afiliación a servicios de salud</w:t>
            </w:r>
          </w:p>
        </w:tc>
        <w:tc>
          <w:tcPr>
            <w:tcW w:type="dxa" w:w="430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La afiliación es «NINGUNA»</w:t>
            </w:r>
          </w:p>
        </w:tc>
        <w:tc>
          <w:tcPr>
            <w:tcW w:type="dxa" w:w="2620"/>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afiliacion_servicios_saludd</w:t>
            </w:r>
          </w:p>
        </w:tc>
      </w:tr>
      <w:tr>
        <w:trPr>
          <w:cantSplit/>
        </w:trPr>
        <w:tc>
          <w:tcPr>
            <w:tcW w:type="dxa" w:w="243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No terminó la primaria</w:t>
            </w:r>
          </w:p>
        </w:tc>
        <w:tc>
          <w:tcPr>
            <w:tcW w:type="dxa" w:w="430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La escolaridad es ninguna, preescolar o primaria incompleta</w:t>
            </w:r>
          </w:p>
        </w:tc>
        <w:tc>
          <w:tcPr>
            <w:tcW w:type="dxa" w:w="2620"/>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escolaridadd</w:t>
            </w:r>
          </w:p>
        </w:tc>
      </w:tr>
      <w:tr>
        <w:trPr>
          <w:cantSplit/>
        </w:trPr>
        <w:tc>
          <w:tcPr>
            <w:tcW w:type="dxa" w:w="243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Sin trabajo</w:t>
            </w:r>
          </w:p>
        </w:tc>
        <w:tc>
          <w:tcPr>
            <w:tcW w:type="dxa" w:w="430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No trabaja ni estudia por barreras de su entorno, o está buscando trabajo</w:t>
            </w:r>
          </w:p>
        </w:tc>
        <w:tc>
          <w:tcPr>
            <w:tcW w:type="dxa" w:w="2620"/>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condicion_actividad_economicad</w:t>
            </w:r>
          </w:p>
        </w:tc>
      </w:tr>
      <w:tr>
        <w:trPr>
          <w:cantSplit/>
        </w:trPr>
        <w:tc>
          <w:tcPr>
            <w:tcW w:type="dxa" w:w="243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Vivienda precaria</w:t>
            </w:r>
          </w:p>
        </w:tc>
        <w:tc>
          <w:tcPr>
            <w:tcW w:type="dxa" w:w="430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Vive en vecindad, cuarto de azotea, albergue, refugio, vivienda móvil o un local no construido para habitación</w:t>
            </w:r>
          </w:p>
        </w:tc>
        <w:tc>
          <w:tcPr>
            <w:tcW w:type="dxa" w:w="2620"/>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tipo_viviendad</w:t>
            </w:r>
          </w:p>
        </w:tc>
      </w:tr>
      <w:tr>
        <w:trPr>
          <w:cantSplit/>
        </w:trPr>
        <w:tc>
          <w:tcPr>
            <w:tcW w:type="dxa" w:w="243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left"/>
            </w:pPr>
            <w:r>
              <w:rPr>
                <w:b w:val="false"/>
                <w:bCs w:val="false"/>
                <w:sz w:val="19"/>
                <w:szCs w:val="19"/>
              </w:rPr>
              <w:t xml:space="preserve">Le falta un aparato de apoyo</w:t>
            </w:r>
          </w:p>
        </w:tc>
        <w:tc>
          <w:tcPr>
            <w:tcW w:type="dxa" w:w="430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left"/>
            </w:pPr>
            <w:r>
              <w:rPr>
                <w:b w:val="false"/>
                <w:bCs w:val="false"/>
                <w:sz w:val="19"/>
                <w:szCs w:val="19"/>
              </w:rPr>
              <w:t xml:space="preserve">Necesitaría al menos un aparato (silla de ruedas, bastón, audífono, lentes…) que hoy no utiliza</w:t>
            </w:r>
          </w:p>
        </w:tc>
        <w:tc>
          <w:tcPr>
            <w:tcW w:type="dxa" w:w="2620"/>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left"/>
            </w:pPr>
            <w:r>
              <w:rPr>
                <w:b w:val="false"/>
                <w:bCs w:val="false"/>
                <w:sz w:val="19"/>
                <w:szCs w:val="19"/>
              </w:rPr>
              <w:t xml:space="preserve">necesitaria_…d y utiliza_…d</w:t>
            </w:r>
          </w:p>
        </w:tc>
      </w:tr>
    </w:tbl>
    <w:p>
      <w:pPr>
        <w:spacing w:after="200" w:before="80"/>
      </w:pPr>
      <w:r>
        <w:rPr>
          <w:color w:val="52514E"/>
          <w:sz w:val="18"/>
          <w:szCs w:val="18"/>
        </w:rPr>
        <w:t xml:space="preserve">Solo se calcula para personas de 18 a 64 años, porque a un menor no le aplica trabajar ni haber terminado la primaria.</w:t>
      </w:r>
    </w:p>
    <w:p>
      <w:pPr>
        <w:spacing w:after="140"/>
      </w:pPr>
      <w:r>
        <w:rPr>
          <w:b/>
          <w:bCs/>
        </w:rPr>
        <w:t xml:space="preserve">No equivale a la medición oficial.</w:t>
      </w:r>
      <w:r>
        <w:t xml:space="preserve"> El CONEVAL combina el ingreso con seis carencias sociales. Aquí no hay ingreso; dos carencias se parecen a las oficiales (salud y rezago educativo, esta última con un criterio más simple) y las otras tres son propias de este trabajo.</w:t>
      </w:r>
    </w:p>
    <w:p>
      <w:pPr>
        <w:pStyle w:val="Heading2"/>
      </w:pPr>
      <w:r>
        <w:t xml:space="preserve">4.3 Comparación de promedios y correlación de Spearman</w:t>
      </w:r>
    </w:p>
    <w:p>
      <w:pPr>
        <w:spacing w:after="140"/>
      </w:pPr>
      <w:r>
        <w:t xml:space="preserve">Para relacionar ambos ámbitos se compararon los promedios de la calificación entre grupos de personas con 0, 1, 2… carencias. Como complemento se calculó la correlación de Spearman (1904), que mide si dos variables suben juntas sin suponer que la relación sea una línea recta. Entre el número de carencias y la calificación del certificado es de 0.18; con la calificación de funciones, 0.14; y con la de estructuras, 0.05. Son valores bajos: la relación es clara en los promedios, pero débil persona por persona.</w:t>
      </w:r>
    </w:p>
    <w:p>
      <w:pPr>
        <w:pStyle w:val="Heading1"/>
      </w:pPr>
      <w:r>
        <w:t xml:space="preserve">5. Ámbito de discapacidad</w:t>
      </w:r>
    </w:p>
    <w:p>
      <w:pPr>
        <w:spacing w:after="140"/>
      </w:pPr>
      <w:r>
        <w:t xml:space="preserve">Como todas las personas de la base tienen certificado, aquí no se mide cuánta gente tiene una discapacidad, sino cómo es: qué tan intensa, de qué tipo, de dónde viene y qué apoyo requiere. Se incluyen todas las edades.</w:t>
      </w:r>
    </w:p>
    <w:p>
      <w:pPr>
        <w:keepNext/>
        <w:spacing w:after="80" w:before="160"/>
      </w:pPr>
      <w:r>
        <w:rPr>
          <w:b/>
          <w:bCs/>
          <w:sz w:val="19"/>
          <w:szCs w:val="19"/>
        </w:rPr>
        <w:t xml:space="preserve">Tabla 7.</w:t>
      </w:r>
      <w:r>
        <w:rPr>
          <w:sz w:val="19"/>
          <w:szCs w:val="19"/>
        </w:rPr>
        <w:t xml:space="preserve"> Cifras generales de discapacidad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1872"/>
        <w:gridCol w:w="1872"/>
      </w:tblGrid>
      <w:tr>
        <w:trPr>
          <w:cantSplit/>
          <w:tblHeader/>
        </w:trPr>
        <w:tc>
          <w:tcPr>
            <w:tcW w:type="dxa" w:w="5616"/>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left"/>
            </w:pPr>
            <w:r>
              <w:rPr>
                <w:b/>
                <w:bCs/>
                <w:sz w:val="19"/>
                <w:szCs w:val="19"/>
              </w:rPr>
              <w:t xml:space="preserve">Indicador</w:t>
            </w:r>
          </w:p>
        </w:tc>
        <w:tc>
          <w:tcPr>
            <w:tcW w:type="dxa" w:w="1872"/>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right"/>
            </w:pPr>
            <w:r>
              <w:rPr>
                <w:b/>
                <w:bCs/>
                <w:sz w:val="19"/>
                <w:szCs w:val="19"/>
              </w:rPr>
              <w:t xml:space="preserve">Nacional</w:t>
            </w:r>
          </w:p>
        </w:tc>
        <w:tc>
          <w:tcPr>
            <w:tcW w:type="dxa" w:w="1872"/>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right"/>
            </w:pPr>
            <w:r>
              <w:rPr>
                <w:b/>
                <w:bCs/>
                <w:sz w:val="19"/>
                <w:szCs w:val="19"/>
              </w:rPr>
              <w:t xml:space="preserve">Guanajuato</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Personas</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61,747</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1,176</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Edad mediana (años)</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42</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21</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Calificación promedio del certificado</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45.9</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44.3</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left"/>
            </w:pPr>
            <w:r>
              <w:rPr>
                <w:b w:val="false"/>
                <w:bCs w:val="false"/>
                <w:sz w:val="19"/>
                <w:szCs w:val="19"/>
              </w:rPr>
              <w:t xml:space="preserve">Necesita algún apoyo</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right"/>
            </w:pPr>
            <w:r>
              <w:rPr>
                <w:b w:val="false"/>
                <w:bCs w:val="false"/>
                <w:sz w:val="19"/>
                <w:szCs w:val="19"/>
              </w:rPr>
              <w:t xml:space="preserve">84.9%</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right"/>
            </w:pPr>
            <w:r>
              <w:rPr>
                <w:b w:val="false"/>
                <w:bCs w:val="false"/>
                <w:sz w:val="19"/>
                <w:szCs w:val="19"/>
              </w:rPr>
              <w:t xml:space="preserve">92.9%</w:t>
            </w:r>
          </w:p>
        </w:tc>
      </w:tr>
    </w:tbl>
    <w:p>
      <w:pPr>
        <w:keepNext/>
        <w:spacing w:after="80" w:before="160"/>
      </w:pPr>
      <w:r>
        <w:rPr>
          <w:b/>
          <w:bCs/>
          <w:sz w:val="19"/>
          <w:szCs w:val="19"/>
        </w:rPr>
        <w:t xml:space="preserve">Tabla 8.</w:t>
      </w:r>
      <w:r>
        <w:rPr>
          <w:sz w:val="19"/>
          <w:szCs w:val="19"/>
        </w:rPr>
        <w:t xml:space="preserve"> Personas por rango de calificación del certificado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1872"/>
        <w:gridCol w:w="1872"/>
      </w:tblGrid>
      <w:tr>
        <w:trPr>
          <w:cantSplit/>
          <w:tblHeader/>
        </w:trPr>
        <w:tc>
          <w:tcPr>
            <w:tcW w:type="dxa" w:w="5616"/>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left"/>
            </w:pPr>
            <w:r>
              <w:rPr>
                <w:b/>
                <w:bCs/>
                <w:sz w:val="19"/>
                <w:szCs w:val="19"/>
              </w:rPr>
              <w:t xml:space="preserve">Rango de calificación</w:t>
            </w:r>
          </w:p>
        </w:tc>
        <w:tc>
          <w:tcPr>
            <w:tcW w:type="dxa" w:w="1872"/>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right"/>
            </w:pPr>
            <w:r>
              <w:rPr>
                <w:b/>
                <w:bCs/>
                <w:sz w:val="19"/>
                <w:szCs w:val="19"/>
              </w:rPr>
              <w:t xml:space="preserve">Nacional</w:t>
            </w:r>
          </w:p>
        </w:tc>
        <w:tc>
          <w:tcPr>
            <w:tcW w:type="dxa" w:w="1872"/>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right"/>
            </w:pPr>
            <w:r>
              <w:rPr>
                <w:b/>
                <w:bCs/>
                <w:sz w:val="19"/>
                <w:szCs w:val="19"/>
              </w:rPr>
              <w:t xml:space="preserve">Guanajuato</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25 a 40</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38.8%</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45.4%</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40 a 55</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36.4%</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33.9%</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55 a 70</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18.9%</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15.1%</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left"/>
            </w:pPr>
            <w:r>
              <w:rPr>
                <w:b w:val="false"/>
                <w:bCs w:val="false"/>
                <w:sz w:val="19"/>
                <w:szCs w:val="19"/>
              </w:rPr>
              <w:t xml:space="preserve">70 o más</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right"/>
            </w:pPr>
            <w:r>
              <w:rPr>
                <w:b w:val="false"/>
                <w:bCs w:val="false"/>
                <w:sz w:val="19"/>
                <w:szCs w:val="19"/>
              </w:rPr>
              <w:t xml:space="preserve">5.9%</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right"/>
            </w:pPr>
            <w:r>
              <w:rPr>
                <w:b w:val="false"/>
                <w:bCs w:val="false"/>
                <w:sz w:val="19"/>
                <w:szCs w:val="19"/>
              </w:rPr>
              <w:t xml:space="preserve">5.5%</w:t>
            </w:r>
          </w:p>
        </w:tc>
      </w:tr>
    </w:tbl>
    <w:p>
      <w:pPr>
        <w:keepNext/>
        <w:spacing w:after="80" w:before="160"/>
      </w:pPr>
      <w:r>
        <w:rPr>
          <w:b/>
          <w:bCs/>
          <w:sz w:val="19"/>
          <w:szCs w:val="19"/>
        </w:rPr>
        <w:t xml:space="preserve">Tabla 9.</w:t>
      </w:r>
      <w:r>
        <w:rPr>
          <w:sz w:val="19"/>
          <w:szCs w:val="19"/>
        </w:rPr>
        <w:t xml:space="preserve"> Apoyo que necesita la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1872"/>
        <w:gridCol w:w="1872"/>
      </w:tblGrid>
      <w:tr>
        <w:trPr>
          <w:cantSplit/>
          <w:tblHeader/>
        </w:trPr>
        <w:tc>
          <w:tcPr>
            <w:tcW w:type="dxa" w:w="5616"/>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left"/>
            </w:pPr>
            <w:r>
              <w:rPr>
                <w:b/>
                <w:bCs/>
                <w:sz w:val="19"/>
                <w:szCs w:val="19"/>
              </w:rPr>
              <w:t xml:space="preserve">Apoyo</w:t>
            </w:r>
          </w:p>
        </w:tc>
        <w:tc>
          <w:tcPr>
            <w:tcW w:type="dxa" w:w="1872"/>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right"/>
            </w:pPr>
            <w:r>
              <w:rPr>
                <w:b/>
                <w:bCs/>
                <w:sz w:val="19"/>
                <w:szCs w:val="19"/>
              </w:rPr>
              <w:t xml:space="preserve">Nacional</w:t>
            </w:r>
          </w:p>
        </w:tc>
        <w:tc>
          <w:tcPr>
            <w:tcW w:type="dxa" w:w="1872"/>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right"/>
            </w:pPr>
            <w:r>
              <w:rPr>
                <w:b/>
                <w:bCs/>
                <w:sz w:val="19"/>
                <w:szCs w:val="19"/>
              </w:rPr>
              <w:t xml:space="preserve">Guanajuato</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No requiere</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15.1%</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7.1%</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Incitación verbal o gestual</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5.4%</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3.1%</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Supervisión</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28.7%</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39.3%</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Ayuda física parcial</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38.3%</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35.9%</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left"/>
            </w:pPr>
            <w:r>
              <w:rPr>
                <w:b w:val="false"/>
                <w:bCs w:val="false"/>
                <w:sz w:val="19"/>
                <w:szCs w:val="19"/>
              </w:rPr>
              <w:t xml:space="preserve">Ayuda física total</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right"/>
            </w:pPr>
            <w:r>
              <w:rPr>
                <w:b w:val="false"/>
                <w:bCs w:val="false"/>
                <w:sz w:val="19"/>
                <w:szCs w:val="19"/>
              </w:rPr>
              <w:t xml:space="preserve">12.6%</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right"/>
            </w:pPr>
            <w:r>
              <w:rPr>
                <w:b w:val="false"/>
                <w:bCs w:val="false"/>
                <w:sz w:val="19"/>
                <w:szCs w:val="19"/>
              </w:rPr>
              <w:t xml:space="preserve">14.5%</w:t>
            </w:r>
          </w:p>
        </w:tc>
      </w:tr>
    </w:tbl>
    <w:p>
      <w:pPr>
        <w:keepNext/>
        <w:spacing w:after="80" w:before="160"/>
      </w:pPr>
      <w:r>
        <w:rPr>
          <w:b/>
          <w:bCs/>
          <w:sz w:val="19"/>
          <w:szCs w:val="19"/>
        </w:rPr>
        <w:t xml:space="preserve">Tabla 10.</w:t>
      </w:r>
      <w:r>
        <w:rPr>
          <w:sz w:val="19"/>
          <w:szCs w:val="19"/>
        </w:rPr>
        <w:t xml:space="preserve"> Tipo de condición de salud principal (grupos de la CIE-11)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1872"/>
        <w:gridCol w:w="1872"/>
      </w:tblGrid>
      <w:tr>
        <w:trPr>
          <w:cantSplit/>
          <w:tblHeader/>
        </w:trPr>
        <w:tc>
          <w:tcPr>
            <w:tcW w:type="dxa" w:w="5616"/>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left"/>
            </w:pPr>
            <w:r>
              <w:rPr>
                <w:b/>
                <w:bCs/>
                <w:sz w:val="19"/>
                <w:szCs w:val="19"/>
              </w:rPr>
              <w:t xml:space="preserve">Grupo</w:t>
            </w:r>
          </w:p>
        </w:tc>
        <w:tc>
          <w:tcPr>
            <w:tcW w:type="dxa" w:w="1872"/>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right"/>
            </w:pPr>
            <w:r>
              <w:rPr>
                <w:b/>
                <w:bCs/>
                <w:sz w:val="19"/>
                <w:szCs w:val="19"/>
              </w:rPr>
              <w:t xml:space="preserve">Nacional</w:t>
            </w:r>
          </w:p>
        </w:tc>
        <w:tc>
          <w:tcPr>
            <w:tcW w:type="dxa" w:w="1872"/>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right"/>
            </w:pPr>
            <w:r>
              <w:rPr>
                <w:b/>
                <w:bCs/>
                <w:sz w:val="19"/>
                <w:szCs w:val="19"/>
              </w:rPr>
              <w:t xml:space="preserve">Guanajuato</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Mental y del neurodesarrollo</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28.6%</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32.7%</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Sistema nervioso</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13.7%</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19.3%</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Músculos, huesos y articulaciones</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11.0%</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5.9%</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Lesiones y traumatismos</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8.7%</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8.2%</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Visión</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8.6%</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7.0%</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Anomalías del desarrollo</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7.7%</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10.1%</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Oído</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5.4%</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3.3%</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Síntomas generales</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5.1%</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4.8%</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left"/>
            </w:pPr>
            <w:r>
              <w:rPr>
                <w:b w:val="false"/>
                <w:bCs w:val="false"/>
                <w:sz w:val="19"/>
                <w:szCs w:val="19"/>
              </w:rPr>
              <w:t xml:space="preserve">Otras</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right"/>
            </w:pPr>
            <w:r>
              <w:rPr>
                <w:b w:val="false"/>
                <w:bCs w:val="false"/>
                <w:sz w:val="19"/>
                <w:szCs w:val="19"/>
              </w:rPr>
              <w:t xml:space="preserve">11.3%</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right"/>
            </w:pPr>
            <w:r>
              <w:rPr>
                <w:b w:val="false"/>
                <w:bCs w:val="false"/>
                <w:sz w:val="19"/>
                <w:szCs w:val="19"/>
              </w:rPr>
              <w:t xml:space="preserve">8.7%</w:t>
            </w:r>
          </w:p>
        </w:tc>
      </w:tr>
    </w:tbl>
    <w:p>
      <w:pPr>
        <w:keepNext/>
        <w:spacing w:after="80" w:before="160"/>
      </w:pPr>
      <w:r>
        <w:rPr>
          <w:b/>
          <w:bCs/>
          <w:sz w:val="19"/>
          <w:szCs w:val="19"/>
        </w:rPr>
        <w:t xml:space="preserve">Tabla 11.</w:t>
      </w:r>
      <w:r>
        <w:rPr>
          <w:sz w:val="19"/>
          <w:szCs w:val="19"/>
        </w:rPr>
        <w:t xml:space="preserve"> Origen de la condición de salud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1872"/>
        <w:gridCol w:w="1872"/>
      </w:tblGrid>
      <w:tr>
        <w:trPr>
          <w:cantSplit/>
          <w:tblHeader/>
        </w:trPr>
        <w:tc>
          <w:tcPr>
            <w:tcW w:type="dxa" w:w="5616"/>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left"/>
            </w:pPr>
            <w:r>
              <w:rPr>
                <w:b/>
                <w:bCs/>
                <w:sz w:val="19"/>
                <w:szCs w:val="19"/>
              </w:rPr>
              <w:t xml:space="preserve">Origen</w:t>
            </w:r>
          </w:p>
        </w:tc>
        <w:tc>
          <w:tcPr>
            <w:tcW w:type="dxa" w:w="1872"/>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right"/>
            </w:pPr>
            <w:r>
              <w:rPr>
                <w:b/>
                <w:bCs/>
                <w:sz w:val="19"/>
                <w:szCs w:val="19"/>
              </w:rPr>
              <w:t xml:space="preserve">Nacional</w:t>
            </w:r>
          </w:p>
        </w:tc>
        <w:tc>
          <w:tcPr>
            <w:tcW w:type="dxa" w:w="1872"/>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right"/>
            </w:pPr>
            <w:r>
              <w:rPr>
                <w:b/>
                <w:bCs/>
                <w:sz w:val="19"/>
                <w:szCs w:val="19"/>
              </w:rPr>
              <w:t xml:space="preserve">Guanajuato</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Congénita (de nacimiento)</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33.9%</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43.7%</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Enfermedad crónico-degenerativa</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28.6%</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17.4%</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Accidente o violencia</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13.4%</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10.8%</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Embarazo, parto o recién nacido</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6.8%</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13.4%</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Enfermedad infecciosa</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2.9%</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2.1%</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left"/>
            </w:pPr>
            <w:r>
              <w:rPr>
                <w:b w:val="false"/>
                <w:bCs w:val="false"/>
                <w:sz w:val="19"/>
                <w:szCs w:val="19"/>
              </w:rPr>
              <w:t xml:space="preserve">Otra causa o no aplica</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right"/>
            </w:pPr>
            <w:r>
              <w:rPr>
                <w:b w:val="false"/>
                <w:bCs w:val="false"/>
                <w:sz w:val="19"/>
                <w:szCs w:val="19"/>
              </w:rPr>
              <w:t xml:space="preserve">14.3%</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right"/>
            </w:pPr>
            <w:r>
              <w:rPr>
                <w:b w:val="false"/>
                <w:bCs w:val="false"/>
                <w:sz w:val="19"/>
                <w:szCs w:val="19"/>
              </w:rPr>
              <w:t xml:space="preserve">12.5%</w:t>
            </w:r>
          </w:p>
        </w:tc>
      </w:tr>
    </w:tbl>
    <w:p>
      <w:pPr>
        <w:spacing w:after="200" w:before="80"/>
      </w:pPr>
      <w:r>
        <w:rPr>
          <w:color w:val="52514E"/>
          <w:sz w:val="18"/>
          <w:szCs w:val="18"/>
        </w:rPr>
        <w:t xml:space="preserve">La calificación promedio sube con el apoyo requerido: 38.7 entre quienes no requieren apoyo y 60.0 entre quienes requieren ayuda física total.</w:t>
      </w:r>
    </w:p>
    <w:p>
      <w:pPr>
        <w:pStyle w:val="Heading1"/>
      </w:pPr>
      <w:r>
        <w:t xml:space="preserve">6. Ámbito de economía</w:t>
      </w:r>
    </w:p>
    <w:p>
      <w:pPr>
        <w:spacing w:after="140"/>
      </w:pPr>
      <w:r>
        <w:t xml:space="preserve">Se toman los 42,223 adultos de 18 a 64 años (607 en Guanajuato). Además de las cinco carencias, la base indica que el 65.5% depende económicamente de alguien (65.4% en Guanajuato) y que el 24.3% recibe algún apoyo social (19.9% en Guanajuato).</w:t>
      </w:r>
    </w:p>
    <w:p>
      <w:pPr>
        <w:keepNext/>
        <w:spacing w:after="80" w:before="160"/>
      </w:pPr>
      <w:r>
        <w:rPr>
          <w:b/>
          <w:bCs/>
          <w:sz w:val="19"/>
          <w:szCs w:val="19"/>
        </w:rPr>
        <w:t xml:space="preserve">Tabla 12.</w:t>
      </w:r>
      <w:r>
        <w:rPr>
          <w:sz w:val="19"/>
          <w:szCs w:val="19"/>
        </w:rPr>
        <w:t xml:space="preserve"> Adultos con cada carencia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1872"/>
        <w:gridCol w:w="1872"/>
      </w:tblGrid>
      <w:tr>
        <w:trPr>
          <w:cantSplit/>
          <w:tblHeader/>
        </w:trPr>
        <w:tc>
          <w:tcPr>
            <w:tcW w:type="dxa" w:w="5616"/>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left"/>
            </w:pPr>
            <w:r>
              <w:rPr>
                <w:b/>
                <w:bCs/>
                <w:sz w:val="19"/>
                <w:szCs w:val="19"/>
              </w:rPr>
              <w:t xml:space="preserve">Carencia</w:t>
            </w:r>
          </w:p>
        </w:tc>
        <w:tc>
          <w:tcPr>
            <w:tcW w:type="dxa" w:w="1872"/>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right"/>
            </w:pPr>
            <w:r>
              <w:rPr>
                <w:b/>
                <w:bCs/>
                <w:sz w:val="19"/>
                <w:szCs w:val="19"/>
              </w:rPr>
              <w:t xml:space="preserve">Nacional</w:t>
            </w:r>
          </w:p>
        </w:tc>
        <w:tc>
          <w:tcPr>
            <w:tcW w:type="dxa" w:w="1872"/>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right"/>
            </w:pPr>
            <w:r>
              <w:rPr>
                <w:b/>
                <w:bCs/>
                <w:sz w:val="19"/>
                <w:szCs w:val="19"/>
              </w:rPr>
              <w:t xml:space="preserve">Guanajuato</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Sin afiliación a servicios de salud</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43.2%</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74.5%</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No terminó la primaria</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15.2%</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26.0%</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Sin trabajo</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52.4%</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65.6%</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Vivienda precaria</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2.6%</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0.2%</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Le falta un aparato de apoyo</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29.4%</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35.1%</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left"/>
            </w:pPr>
            <w:r>
              <w:rPr>
                <w:b w:val="false"/>
                <w:bCs w:val="false"/>
                <w:sz w:val="19"/>
                <w:szCs w:val="19"/>
              </w:rPr>
              <w:t xml:space="preserve">Carencias promedio (de 5)</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right"/>
            </w:pPr>
            <w:r>
              <w:rPr>
                <w:b w:val="false"/>
                <w:bCs w:val="false"/>
                <w:sz w:val="19"/>
                <w:szCs w:val="19"/>
              </w:rPr>
              <w:t xml:space="preserve">1.43</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right"/>
            </w:pPr>
            <w:r>
              <w:rPr>
                <w:b w:val="false"/>
                <w:bCs w:val="false"/>
                <w:sz w:val="19"/>
                <w:szCs w:val="19"/>
              </w:rPr>
              <w:t xml:space="preserve">2.01</w:t>
            </w:r>
          </w:p>
        </w:tc>
      </w:tr>
    </w:tbl>
    <w:p>
      <w:pPr>
        <w:keepNext/>
        <w:spacing w:after="80" w:before="160"/>
      </w:pPr>
      <w:r>
        <w:rPr>
          <w:b/>
          <w:bCs/>
          <w:sz w:val="19"/>
          <w:szCs w:val="19"/>
        </w:rPr>
        <w:t xml:space="preserve">Tabla 13.</w:t>
      </w:r>
      <w:r>
        <w:rPr>
          <w:sz w:val="19"/>
          <w:szCs w:val="19"/>
        </w:rPr>
        <w:t xml:space="preserve"> Condición de actividad económica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1872"/>
        <w:gridCol w:w="1872"/>
      </w:tblGrid>
      <w:tr>
        <w:trPr>
          <w:cantSplit/>
          <w:tblHeader/>
        </w:trPr>
        <w:tc>
          <w:tcPr>
            <w:tcW w:type="dxa" w:w="5616"/>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left"/>
            </w:pPr>
            <w:r>
              <w:rPr>
                <w:b/>
                <w:bCs/>
                <w:sz w:val="19"/>
                <w:szCs w:val="19"/>
              </w:rPr>
              <w:t xml:space="preserve">A qué se dedica</w:t>
            </w:r>
          </w:p>
        </w:tc>
        <w:tc>
          <w:tcPr>
            <w:tcW w:type="dxa" w:w="1872"/>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right"/>
            </w:pPr>
            <w:r>
              <w:rPr>
                <w:b/>
                <w:bCs/>
                <w:sz w:val="19"/>
                <w:szCs w:val="19"/>
              </w:rPr>
              <w:t xml:space="preserve">Nacional</w:t>
            </w:r>
          </w:p>
        </w:tc>
        <w:tc>
          <w:tcPr>
            <w:tcW w:type="dxa" w:w="1872"/>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right"/>
            </w:pPr>
            <w:r>
              <w:rPr>
                <w:b/>
                <w:bCs/>
                <w:sz w:val="19"/>
                <w:szCs w:val="19"/>
              </w:rPr>
              <w:t xml:space="preserve">Guanajuato</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No trabaja ni estudia por barreras del entorno</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49.9%</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63.3%</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Tiene trabajo</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16.6%</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13.8%</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Quehaceres del hogar</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12.9%</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7.2%</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Jubilado o pensionado</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8.8%</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5.6%</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Estudiante</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3.5%</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2.6%</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Busca trabajo</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2.5%</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2.3%</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left"/>
            </w:pPr>
            <w:r>
              <w:rPr>
                <w:b w:val="false"/>
                <w:bCs w:val="false"/>
                <w:sz w:val="19"/>
                <w:szCs w:val="19"/>
              </w:rPr>
              <w:t xml:space="preserve">Otra o no aplica</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right"/>
            </w:pPr>
            <w:r>
              <w:rPr>
                <w:b w:val="false"/>
                <w:bCs w:val="false"/>
                <w:sz w:val="19"/>
                <w:szCs w:val="19"/>
              </w:rPr>
              <w:t xml:space="preserve">5.8%</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right"/>
            </w:pPr>
            <w:r>
              <w:rPr>
                <w:b w:val="false"/>
                <w:bCs w:val="false"/>
                <w:sz w:val="19"/>
                <w:szCs w:val="19"/>
              </w:rPr>
              <w:t xml:space="preserve">5.1%</w:t>
            </w:r>
          </w:p>
        </w:tc>
      </w:tr>
    </w:tbl>
    <w:p>
      <w:pPr>
        <w:keepNext/>
        <w:spacing w:after="80" w:before="160"/>
      </w:pPr>
      <w:r>
        <w:rPr>
          <w:b/>
          <w:bCs/>
          <w:sz w:val="19"/>
          <w:szCs w:val="19"/>
        </w:rPr>
        <w:t xml:space="preserve">Tabla 14.</w:t>
      </w:r>
      <w:r>
        <w:rPr>
          <w:sz w:val="19"/>
          <w:szCs w:val="19"/>
        </w:rPr>
        <w:t xml:space="preserve"> Afiliación a servicios de salud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1872"/>
        <w:gridCol w:w="1872"/>
      </w:tblGrid>
      <w:tr>
        <w:trPr>
          <w:cantSplit/>
          <w:tblHeader/>
        </w:trPr>
        <w:tc>
          <w:tcPr>
            <w:tcW w:type="dxa" w:w="5616"/>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left"/>
            </w:pPr>
            <w:r>
              <w:rPr>
                <w:b/>
                <w:bCs/>
                <w:sz w:val="19"/>
                <w:szCs w:val="19"/>
              </w:rPr>
              <w:t xml:space="preserve">Institución</w:t>
            </w:r>
          </w:p>
        </w:tc>
        <w:tc>
          <w:tcPr>
            <w:tcW w:type="dxa" w:w="1872"/>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right"/>
            </w:pPr>
            <w:r>
              <w:rPr>
                <w:b/>
                <w:bCs/>
                <w:sz w:val="19"/>
                <w:szCs w:val="19"/>
              </w:rPr>
              <w:t xml:space="preserve">Nacional</w:t>
            </w:r>
          </w:p>
        </w:tc>
        <w:tc>
          <w:tcPr>
            <w:tcW w:type="dxa" w:w="1872"/>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right"/>
            </w:pPr>
            <w:r>
              <w:rPr>
                <w:b/>
                <w:bCs/>
                <w:sz w:val="19"/>
                <w:szCs w:val="19"/>
              </w:rPr>
              <w:t xml:space="preserve">Guanajuato</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Ninguna</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43.2%</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74.5%</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IMSS</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32.9%</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19.4%</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Bienestar</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9.9%</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0.2%</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ISSSTE</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5.4%</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3.5%</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left"/>
            </w:pPr>
            <w:r>
              <w:rPr>
                <w:b w:val="false"/>
                <w:bCs w:val="false"/>
                <w:sz w:val="19"/>
                <w:szCs w:val="19"/>
              </w:rPr>
              <w:t xml:space="preserve">Otra o no especificado</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right"/>
            </w:pPr>
            <w:r>
              <w:rPr>
                <w:b w:val="false"/>
                <w:bCs w:val="false"/>
                <w:sz w:val="19"/>
                <w:szCs w:val="19"/>
              </w:rPr>
              <w:t xml:space="preserve">8.6%</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right"/>
            </w:pPr>
            <w:r>
              <w:rPr>
                <w:b w:val="false"/>
                <w:bCs w:val="false"/>
                <w:sz w:val="19"/>
                <w:szCs w:val="19"/>
              </w:rPr>
              <w:t xml:space="preserve">2.5%</w:t>
            </w:r>
          </w:p>
        </w:tc>
      </w:tr>
    </w:tbl>
    <w:p>
      <w:pPr>
        <w:keepNext/>
        <w:spacing w:after="80" w:before="160"/>
      </w:pPr>
      <w:r>
        <w:rPr>
          <w:b/>
          <w:bCs/>
          <w:sz w:val="19"/>
          <w:szCs w:val="19"/>
        </w:rPr>
        <w:t xml:space="preserve">Tabla 15.</w:t>
      </w:r>
      <w:r>
        <w:rPr>
          <w:sz w:val="19"/>
          <w:szCs w:val="19"/>
        </w:rPr>
        <w:t xml:space="preserve"> Escolaridad (último nivel terminado)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1872"/>
        <w:gridCol w:w="1872"/>
      </w:tblGrid>
      <w:tr>
        <w:trPr>
          <w:cantSplit/>
          <w:tblHeader/>
        </w:trPr>
        <w:tc>
          <w:tcPr>
            <w:tcW w:type="dxa" w:w="5616"/>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left"/>
            </w:pPr>
            <w:r>
              <w:rPr>
                <w:b/>
                <w:bCs/>
                <w:sz w:val="19"/>
                <w:szCs w:val="19"/>
              </w:rPr>
              <w:t xml:space="preserve">Nivel</w:t>
            </w:r>
          </w:p>
        </w:tc>
        <w:tc>
          <w:tcPr>
            <w:tcW w:type="dxa" w:w="1872"/>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right"/>
            </w:pPr>
            <w:r>
              <w:rPr>
                <w:b/>
                <w:bCs/>
                <w:sz w:val="19"/>
                <w:szCs w:val="19"/>
              </w:rPr>
              <w:t xml:space="preserve">Nacional</w:t>
            </w:r>
          </w:p>
        </w:tc>
        <w:tc>
          <w:tcPr>
            <w:tcW w:type="dxa" w:w="1872"/>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right"/>
            </w:pPr>
            <w:r>
              <w:rPr>
                <w:b/>
                <w:bCs/>
                <w:sz w:val="19"/>
                <w:szCs w:val="19"/>
              </w:rPr>
              <w:t xml:space="preserve">Guanajuato</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Sin primaria terminada</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15.2%</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26.0%</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Primaria</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17.3%</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17.1%</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Secundaria</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35.1%</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34.3%</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Bachillerato</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21.0%</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14.8%</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Licenciatura o más</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10.1%</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7.4%</w:t>
            </w:r>
          </w:p>
        </w:tc>
      </w:tr>
      <w:tr>
        <w:trPr>
          <w:cantSplit/>
        </w:trPr>
        <w:tc>
          <w:tcPr>
            <w:tcW w:type="dxa" w:w="5616"/>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left"/>
            </w:pPr>
            <w:r>
              <w:rPr>
                <w:b w:val="false"/>
                <w:bCs w:val="false"/>
                <w:sz w:val="19"/>
                <w:szCs w:val="19"/>
              </w:rPr>
              <w:t xml:space="preserve">No especificado</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right"/>
            </w:pPr>
            <w:r>
              <w:rPr>
                <w:b w:val="false"/>
                <w:bCs w:val="false"/>
                <w:sz w:val="19"/>
                <w:szCs w:val="19"/>
              </w:rPr>
              <w:t xml:space="preserve">1.4%</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right"/>
            </w:pPr>
            <w:r>
              <w:rPr>
                <w:b w:val="false"/>
                <w:bCs w:val="false"/>
                <w:sz w:val="19"/>
                <w:szCs w:val="19"/>
              </w:rPr>
              <w:t xml:space="preserve">0.3%</w:t>
            </w:r>
          </w:p>
        </w:tc>
      </w:tr>
    </w:tbl>
    <w:p>
      <w:pPr>
        <w:pStyle w:val="Heading1"/>
      </w:pPr>
      <w:r>
        <w:t xml:space="preserve">7. Relación entre discapacidad y economía</w:t>
      </w:r>
    </w:p>
    <w:p>
      <w:pPr>
        <w:keepNext/>
        <w:spacing w:after="140"/>
      </w:pPr>
      <w:r>
        <w:t xml:space="preserve">La literatura reporta que discapacidad y pobreza suelen ir juntas y se refuerzan en ambos sentidos (OMS y Banco Mundial, 2011; Mitra et al., 2013). En esta base la relación aparece de forma consistente en los promedios.</w:t>
      </w:r>
    </w:p>
    <w:p>
      <w:pPr>
        <w:keepNext/>
        <w:spacing w:after="60" w:before="120"/>
        <w:jc w:val="center"/>
      </w:pPr>
      <w:r>
        <w:drawing>
          <wp:inline distT="0" distB="0" distL="0" distR="0">
            <wp:extent cx="5715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47925"/>
                    </a:xfrm>
                    <a:prstGeom prst="rect">
                      <a:avLst/>
                    </a:prstGeom>
                  </pic:spPr>
                </pic:pic>
              </a:graphicData>
            </a:graphic>
          </wp:inline>
        </w:drawing>
      </w:r>
    </w:p>
    <w:p>
      <w:pPr>
        <w:spacing w:after="200" w:before="80"/>
      </w:pPr>
      <w:r>
        <w:rPr>
          <w:b/>
          <w:bCs/>
          <w:color w:val="52514E"/>
          <w:sz w:val="18"/>
          <w:szCs w:val="18"/>
        </w:rPr>
        <w:t xml:space="preserve">Figura 1.</w:t>
      </w:r>
      <w:r>
        <w:rPr>
          <w:color w:val="52514E"/>
          <w:sz w:val="18"/>
          <w:szCs w:val="18"/>
        </w:rPr>
        <w:t xml:space="preserve"> Calificación promedio del certificado según el número de carencias, adultos de 18 a 64 años, nacional. La barra tenue es un grupo de menos de 30 personas.</w:t>
      </w:r>
    </w:p>
    <w:p>
      <w:pPr>
        <w:keepNext/>
        <w:spacing w:after="80" w:before="160"/>
      </w:pPr>
      <w:r>
        <w:rPr>
          <w:b/>
          <w:bCs/>
          <w:sz w:val="19"/>
          <w:szCs w:val="19"/>
        </w:rPr>
        <w:t xml:space="preserve">Tabla 16.</w:t>
      </w:r>
      <w:r>
        <w:rPr>
          <w:sz w:val="19"/>
          <w:szCs w:val="19"/>
        </w:rPr>
        <w:t xml:space="preserve"> Calificaciones promedio según el número de carencias (nacional)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2995"/>
        <w:gridCol w:w="2621"/>
      </w:tblGrid>
      <w:tr>
        <w:trPr>
          <w:cantSplit/>
          <w:tblHeader/>
        </w:trPr>
        <w:tc>
          <w:tcPr>
            <w:tcW w:type="dxa" w:w="1872"/>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left"/>
            </w:pPr>
            <w:r>
              <w:rPr>
                <w:b/>
                <w:bCs/>
                <w:sz w:val="19"/>
                <w:szCs w:val="19"/>
              </w:rPr>
              <w:t xml:space="preserve">Carencias</w:t>
            </w:r>
          </w:p>
        </w:tc>
        <w:tc>
          <w:tcPr>
            <w:tcW w:type="dxa" w:w="1872"/>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right"/>
            </w:pPr>
            <w:r>
              <w:rPr>
                <w:b/>
                <w:bCs/>
                <w:sz w:val="19"/>
                <w:szCs w:val="19"/>
              </w:rPr>
              <w:t xml:space="preserve">Personas</w:t>
            </w:r>
          </w:p>
        </w:tc>
        <w:tc>
          <w:tcPr>
            <w:tcW w:type="dxa" w:w="2995"/>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right"/>
            </w:pPr>
            <w:r>
              <w:rPr>
                <w:b/>
                <w:bCs/>
                <w:sz w:val="19"/>
                <w:szCs w:val="19"/>
              </w:rPr>
              <w:t xml:space="preserve">Calificación del certificado</w:t>
            </w:r>
          </w:p>
        </w:tc>
        <w:tc>
          <w:tcPr>
            <w:tcW w:type="dxa" w:w="2621"/>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right"/>
            </w:pPr>
            <w:r>
              <w:rPr>
                <w:b/>
                <w:bCs/>
                <w:sz w:val="19"/>
                <w:szCs w:val="19"/>
              </w:rPr>
              <w:t xml:space="preserve">Calificación de funciones</w:t>
            </w:r>
          </w:p>
        </w:tc>
      </w:tr>
      <w:tr>
        <w:trPr>
          <w:cantSplit/>
        </w:trPr>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0</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8,636</w:t>
            </w:r>
          </w:p>
        </w:tc>
        <w:tc>
          <w:tcPr>
            <w:tcW w:type="dxa" w:w="2995"/>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42.5</w:t>
            </w:r>
          </w:p>
        </w:tc>
        <w:tc>
          <w:tcPr>
            <w:tcW w:type="dxa" w:w="2621"/>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11.2</w:t>
            </w:r>
          </w:p>
        </w:tc>
      </w:tr>
      <w:tr>
        <w:trPr>
          <w:cantSplit/>
        </w:trPr>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1</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14,229</w:t>
            </w:r>
          </w:p>
        </w:tc>
        <w:tc>
          <w:tcPr>
            <w:tcW w:type="dxa" w:w="2995"/>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44.8</w:t>
            </w:r>
          </w:p>
        </w:tc>
        <w:tc>
          <w:tcPr>
            <w:tcW w:type="dxa" w:w="2621"/>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11.9</w:t>
            </w:r>
          </w:p>
        </w:tc>
      </w:tr>
      <w:tr>
        <w:trPr>
          <w:cantSplit/>
        </w:trPr>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2</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12,941</w:t>
            </w:r>
          </w:p>
        </w:tc>
        <w:tc>
          <w:tcPr>
            <w:tcW w:type="dxa" w:w="2995"/>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47.2</w:t>
            </w:r>
          </w:p>
        </w:tc>
        <w:tc>
          <w:tcPr>
            <w:tcW w:type="dxa" w:w="2621"/>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12.7</w:t>
            </w:r>
          </w:p>
        </w:tc>
      </w:tr>
      <w:tr>
        <w:trPr>
          <w:cantSplit/>
        </w:trPr>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3</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5,516</w:t>
            </w:r>
          </w:p>
        </w:tc>
        <w:tc>
          <w:tcPr>
            <w:tcW w:type="dxa" w:w="2995"/>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49.8</w:t>
            </w:r>
          </w:p>
        </w:tc>
        <w:tc>
          <w:tcPr>
            <w:tcW w:type="dxa" w:w="2621"/>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13.5</w:t>
            </w:r>
          </w:p>
        </w:tc>
      </w:tr>
      <w:tr>
        <w:trPr>
          <w:cantSplit/>
        </w:trPr>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4</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879</w:t>
            </w:r>
          </w:p>
        </w:tc>
        <w:tc>
          <w:tcPr>
            <w:tcW w:type="dxa" w:w="2995"/>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52.9</w:t>
            </w:r>
          </w:p>
        </w:tc>
        <w:tc>
          <w:tcPr>
            <w:tcW w:type="dxa" w:w="2621"/>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14.6</w:t>
            </w:r>
          </w:p>
        </w:tc>
      </w:tr>
      <w:tr>
        <w:trPr>
          <w:cantSplit/>
        </w:trPr>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left"/>
            </w:pPr>
            <w:r>
              <w:rPr>
                <w:b w:val="false"/>
                <w:bCs w:val="false"/>
                <w:sz w:val="19"/>
                <w:szCs w:val="19"/>
              </w:rPr>
              <w:t xml:space="preserve">5</w:t>
            </w:r>
          </w:p>
        </w:tc>
        <w:tc>
          <w:tcPr>
            <w:tcW w:type="dxa" w:w="1872"/>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right"/>
            </w:pPr>
            <w:r>
              <w:rPr>
                <w:b w:val="false"/>
                <w:bCs w:val="false"/>
                <w:sz w:val="19"/>
                <w:szCs w:val="19"/>
              </w:rPr>
              <w:t xml:space="preserve">22</w:t>
            </w:r>
          </w:p>
        </w:tc>
        <w:tc>
          <w:tcPr>
            <w:tcW w:type="dxa" w:w="2995"/>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right"/>
            </w:pPr>
            <w:r>
              <w:rPr>
                <w:b w:val="false"/>
                <w:bCs w:val="false"/>
                <w:sz w:val="19"/>
                <w:szCs w:val="19"/>
              </w:rPr>
              <w:t xml:space="preserve">57.5</w:t>
            </w:r>
          </w:p>
        </w:tc>
        <w:tc>
          <w:tcPr>
            <w:tcW w:type="dxa" w:w="2621"/>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right"/>
            </w:pPr>
            <w:r>
              <w:rPr>
                <w:b w:val="false"/>
                <w:bCs w:val="false"/>
                <w:sz w:val="19"/>
                <w:szCs w:val="19"/>
              </w:rPr>
              <w:t xml:space="preserve">15.0</w:t>
            </w:r>
          </w:p>
        </w:tc>
      </w:tr>
    </w:tbl>
    <w:p>
      <w:pPr>
        <w:spacing w:after="200" w:before="80"/>
      </w:pPr>
      <w:r>
        <w:rPr>
          <w:color w:val="52514E"/>
          <w:sz w:val="18"/>
          <w:szCs w:val="18"/>
        </w:rPr>
        <w:t xml:space="preserve">La calificación del certificado incluye factores del entorno, que se parecen a algunas carencias. La calificación de funciones es clínica y no depende de eso, y también sube.</w:t>
      </w:r>
    </w:p>
    <w:p>
      <w:pPr>
        <w:keepNext/>
        <w:spacing w:after="80" w:before="160"/>
      </w:pPr>
      <w:r>
        <w:rPr>
          <w:b/>
          <w:bCs/>
          <w:sz w:val="19"/>
          <w:szCs w:val="19"/>
        </w:rPr>
        <w:t xml:space="preserve">Tabla 17.</w:t>
      </w:r>
      <w:r>
        <w:rPr>
          <w:sz w:val="19"/>
          <w:szCs w:val="19"/>
        </w:rPr>
        <w:t xml:space="preserve"> Carencias promedio según el apoyo que necesita (nacional)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cantSplit/>
          <w:tblHeader/>
        </w:trPr>
        <w:tc>
          <w:tcPr>
            <w:tcW w:type="dxa" w:w="4680"/>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left"/>
            </w:pPr>
            <w:r>
              <w:rPr>
                <w:b/>
                <w:bCs/>
                <w:sz w:val="19"/>
                <w:szCs w:val="19"/>
              </w:rPr>
              <w:t xml:space="preserve">Apoyo que necesita</w:t>
            </w:r>
          </w:p>
        </w:tc>
        <w:tc>
          <w:tcPr>
            <w:tcW w:type="dxa" w:w="2340"/>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right"/>
            </w:pPr>
            <w:r>
              <w:rPr>
                <w:b/>
                <w:bCs/>
                <w:sz w:val="19"/>
                <w:szCs w:val="19"/>
              </w:rPr>
              <w:t xml:space="preserve">Personas</w:t>
            </w:r>
          </w:p>
        </w:tc>
        <w:tc>
          <w:tcPr>
            <w:tcW w:type="dxa" w:w="2340"/>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right"/>
            </w:pPr>
            <w:r>
              <w:rPr>
                <w:b/>
                <w:bCs/>
                <w:sz w:val="19"/>
                <w:szCs w:val="19"/>
              </w:rPr>
              <w:t xml:space="preserve">Carencias promedio</w:t>
            </w:r>
          </w:p>
        </w:tc>
      </w:tr>
      <w:tr>
        <w:trPr>
          <w:cantSplit/>
        </w:trPr>
        <w:tc>
          <w:tcPr>
            <w:tcW w:type="dxa" w:w="4680"/>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No requiere</w:t>
            </w:r>
          </w:p>
        </w:tc>
        <w:tc>
          <w:tcPr>
            <w:tcW w:type="dxa" w:w="2340"/>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8,191</w:t>
            </w:r>
          </w:p>
        </w:tc>
        <w:tc>
          <w:tcPr>
            <w:tcW w:type="dxa" w:w="2340"/>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1.07</w:t>
            </w:r>
          </w:p>
        </w:tc>
      </w:tr>
      <w:tr>
        <w:trPr>
          <w:cantSplit/>
        </w:trPr>
        <w:tc>
          <w:tcPr>
            <w:tcW w:type="dxa" w:w="4680"/>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Incitación verbal o gestual</w:t>
            </w:r>
          </w:p>
        </w:tc>
        <w:tc>
          <w:tcPr>
            <w:tcW w:type="dxa" w:w="2340"/>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1,662</w:t>
            </w:r>
          </w:p>
        </w:tc>
        <w:tc>
          <w:tcPr>
            <w:tcW w:type="dxa" w:w="2340"/>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1.44</w:t>
            </w:r>
          </w:p>
        </w:tc>
      </w:tr>
      <w:tr>
        <w:trPr>
          <w:cantSplit/>
        </w:trPr>
        <w:tc>
          <w:tcPr>
            <w:tcW w:type="dxa" w:w="4680"/>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Supervisión</w:t>
            </w:r>
          </w:p>
        </w:tc>
        <w:tc>
          <w:tcPr>
            <w:tcW w:type="dxa" w:w="2340"/>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10,135</w:t>
            </w:r>
          </w:p>
        </w:tc>
        <w:tc>
          <w:tcPr>
            <w:tcW w:type="dxa" w:w="2340"/>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1.47</w:t>
            </w:r>
          </w:p>
        </w:tc>
      </w:tr>
      <w:tr>
        <w:trPr>
          <w:cantSplit/>
        </w:trPr>
        <w:tc>
          <w:tcPr>
            <w:tcW w:type="dxa" w:w="4680"/>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Ayuda física parcial</w:t>
            </w:r>
          </w:p>
        </w:tc>
        <w:tc>
          <w:tcPr>
            <w:tcW w:type="dxa" w:w="2340"/>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17,951</w:t>
            </w:r>
          </w:p>
        </w:tc>
        <w:tc>
          <w:tcPr>
            <w:tcW w:type="dxa" w:w="2340"/>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1.44</w:t>
            </w:r>
          </w:p>
        </w:tc>
      </w:tr>
      <w:tr>
        <w:trPr>
          <w:cantSplit/>
        </w:trPr>
        <w:tc>
          <w:tcPr>
            <w:tcW w:type="dxa" w:w="4680"/>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left"/>
            </w:pPr>
            <w:r>
              <w:rPr>
                <w:b w:val="false"/>
                <w:bCs w:val="false"/>
                <w:sz w:val="19"/>
                <w:szCs w:val="19"/>
              </w:rPr>
              <w:t xml:space="preserve">Ayuda física total</w:t>
            </w:r>
          </w:p>
        </w:tc>
        <w:tc>
          <w:tcPr>
            <w:tcW w:type="dxa" w:w="2340"/>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right"/>
            </w:pPr>
            <w:r>
              <w:rPr>
                <w:b w:val="false"/>
                <w:bCs w:val="false"/>
                <w:sz w:val="19"/>
                <w:szCs w:val="19"/>
              </w:rPr>
              <w:t xml:space="preserve">4,284</w:t>
            </w:r>
          </w:p>
        </w:tc>
        <w:tc>
          <w:tcPr>
            <w:tcW w:type="dxa" w:w="2340"/>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right"/>
            </w:pPr>
            <w:r>
              <w:rPr>
                <w:b w:val="false"/>
                <w:bCs w:val="false"/>
                <w:sz w:val="19"/>
                <w:szCs w:val="19"/>
              </w:rPr>
              <w:t xml:space="preserve">1.94</w:t>
            </w:r>
          </w:p>
        </w:tc>
      </w:tr>
    </w:tbl>
    <w:p>
      <w:pPr>
        <w:keepNext/>
        <w:spacing w:after="80" w:before="160"/>
      </w:pPr>
      <w:r>
        <w:rPr>
          <w:b/>
          <w:bCs/>
          <w:sz w:val="19"/>
          <w:szCs w:val="19"/>
        </w:rPr>
        <w:t xml:space="preserve">Tabla 18.</w:t>
      </w:r>
      <w:r>
        <w:rPr>
          <w:sz w:val="19"/>
          <w:szCs w:val="19"/>
        </w:rPr>
        <w:t xml:space="preserve"> Adultos con cada carencia según el rango de calificación (nacional)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404"/>
        <w:gridCol w:w="1404"/>
        <w:gridCol w:w="1404"/>
        <w:gridCol w:w="1404"/>
      </w:tblGrid>
      <w:tr>
        <w:trPr>
          <w:cantSplit/>
          <w:tblHeader/>
        </w:trPr>
        <w:tc>
          <w:tcPr>
            <w:tcW w:type="dxa" w:w="3744"/>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left"/>
            </w:pPr>
            <w:r>
              <w:rPr>
                <w:b/>
                <w:bCs/>
                <w:sz w:val="19"/>
                <w:szCs w:val="19"/>
              </w:rPr>
              <w:t xml:space="preserve">Carencia</w:t>
            </w:r>
          </w:p>
        </w:tc>
        <w:tc>
          <w:tcPr>
            <w:tcW w:type="dxa" w:w="1404"/>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right"/>
            </w:pPr>
            <w:r>
              <w:rPr>
                <w:b/>
                <w:bCs/>
                <w:sz w:val="19"/>
                <w:szCs w:val="19"/>
              </w:rPr>
              <w:t xml:space="preserve">25 a 40</w:t>
            </w:r>
          </w:p>
        </w:tc>
        <w:tc>
          <w:tcPr>
            <w:tcW w:type="dxa" w:w="1404"/>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right"/>
            </w:pPr>
            <w:r>
              <w:rPr>
                <w:b/>
                <w:bCs/>
                <w:sz w:val="19"/>
                <w:szCs w:val="19"/>
              </w:rPr>
              <w:t xml:space="preserve">40 a 55</w:t>
            </w:r>
          </w:p>
        </w:tc>
        <w:tc>
          <w:tcPr>
            <w:tcW w:type="dxa" w:w="1404"/>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right"/>
            </w:pPr>
            <w:r>
              <w:rPr>
                <w:b/>
                <w:bCs/>
                <w:sz w:val="19"/>
                <w:szCs w:val="19"/>
              </w:rPr>
              <w:t xml:space="preserve">55 a 70</w:t>
            </w:r>
          </w:p>
        </w:tc>
        <w:tc>
          <w:tcPr>
            <w:tcW w:type="dxa" w:w="1404"/>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right"/>
            </w:pPr>
            <w:r>
              <w:rPr>
                <w:b/>
                <w:bCs/>
                <w:sz w:val="19"/>
                <w:szCs w:val="19"/>
              </w:rPr>
              <w:t xml:space="preserve">70 o más</w:t>
            </w:r>
          </w:p>
        </w:tc>
      </w:tr>
      <w:tr>
        <w:trPr>
          <w:cantSplit/>
        </w:trPr>
        <w:tc>
          <w:tcPr>
            <w:tcW w:type="dxa" w:w="374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Sin afiliación a servicios de salud</w:t>
            </w:r>
          </w:p>
        </w:tc>
        <w:tc>
          <w:tcPr>
            <w:tcW w:type="dxa" w:w="140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42.7%</w:t>
            </w:r>
          </w:p>
        </w:tc>
        <w:tc>
          <w:tcPr>
            <w:tcW w:type="dxa" w:w="140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42.4%</w:t>
            </w:r>
          </w:p>
        </w:tc>
        <w:tc>
          <w:tcPr>
            <w:tcW w:type="dxa" w:w="140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44.5%</w:t>
            </w:r>
          </w:p>
        </w:tc>
        <w:tc>
          <w:tcPr>
            <w:tcW w:type="dxa" w:w="140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47.2%</w:t>
            </w:r>
          </w:p>
        </w:tc>
      </w:tr>
      <w:tr>
        <w:trPr>
          <w:cantSplit/>
        </w:trPr>
        <w:tc>
          <w:tcPr>
            <w:tcW w:type="dxa" w:w="374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No terminó la primaria</w:t>
            </w:r>
          </w:p>
        </w:tc>
        <w:tc>
          <w:tcPr>
            <w:tcW w:type="dxa" w:w="140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12.4%</w:t>
            </w:r>
          </w:p>
        </w:tc>
        <w:tc>
          <w:tcPr>
            <w:tcW w:type="dxa" w:w="140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14.9%</w:t>
            </w:r>
          </w:p>
        </w:tc>
        <w:tc>
          <w:tcPr>
            <w:tcW w:type="dxa" w:w="140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17.4%</w:t>
            </w:r>
          </w:p>
        </w:tc>
        <w:tc>
          <w:tcPr>
            <w:tcW w:type="dxa" w:w="140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28.2%</w:t>
            </w:r>
          </w:p>
        </w:tc>
      </w:tr>
      <w:tr>
        <w:trPr>
          <w:cantSplit/>
        </w:trPr>
        <w:tc>
          <w:tcPr>
            <w:tcW w:type="dxa" w:w="374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Sin trabajo</w:t>
            </w:r>
          </w:p>
        </w:tc>
        <w:tc>
          <w:tcPr>
            <w:tcW w:type="dxa" w:w="140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43.2%</w:t>
            </w:r>
          </w:p>
        </w:tc>
        <w:tc>
          <w:tcPr>
            <w:tcW w:type="dxa" w:w="140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53.4%</w:t>
            </w:r>
          </w:p>
        </w:tc>
        <w:tc>
          <w:tcPr>
            <w:tcW w:type="dxa" w:w="140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63.7%</w:t>
            </w:r>
          </w:p>
        </w:tc>
        <w:tc>
          <w:tcPr>
            <w:tcW w:type="dxa" w:w="140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69.5%</w:t>
            </w:r>
          </w:p>
        </w:tc>
      </w:tr>
      <w:tr>
        <w:trPr>
          <w:cantSplit/>
        </w:trPr>
        <w:tc>
          <w:tcPr>
            <w:tcW w:type="dxa" w:w="374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Vivienda precaria</w:t>
            </w:r>
          </w:p>
        </w:tc>
        <w:tc>
          <w:tcPr>
            <w:tcW w:type="dxa" w:w="140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2.6%</w:t>
            </w:r>
          </w:p>
        </w:tc>
        <w:tc>
          <w:tcPr>
            <w:tcW w:type="dxa" w:w="140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3.0%</w:t>
            </w:r>
          </w:p>
        </w:tc>
        <w:tc>
          <w:tcPr>
            <w:tcW w:type="dxa" w:w="140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2.1%</w:t>
            </w:r>
          </w:p>
        </w:tc>
        <w:tc>
          <w:tcPr>
            <w:tcW w:type="dxa" w:w="140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right"/>
            </w:pPr>
            <w:r>
              <w:rPr>
                <w:b w:val="false"/>
                <w:bCs w:val="false"/>
                <w:sz w:val="19"/>
                <w:szCs w:val="19"/>
              </w:rPr>
              <w:t xml:space="preserve">1.8%</w:t>
            </w:r>
          </w:p>
        </w:tc>
      </w:tr>
      <w:tr>
        <w:trPr>
          <w:cantSplit/>
        </w:trPr>
        <w:tc>
          <w:tcPr>
            <w:tcW w:type="dxa" w:w="374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left"/>
            </w:pPr>
            <w:r>
              <w:rPr>
                <w:b w:val="false"/>
                <w:bCs w:val="false"/>
                <w:sz w:val="19"/>
                <w:szCs w:val="19"/>
              </w:rPr>
              <w:t xml:space="preserve">Le falta un aparato de apoyo</w:t>
            </w:r>
          </w:p>
        </w:tc>
        <w:tc>
          <w:tcPr>
            <w:tcW w:type="dxa" w:w="140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right"/>
            </w:pPr>
            <w:r>
              <w:rPr>
                <w:b w:val="false"/>
                <w:bCs w:val="false"/>
                <w:sz w:val="19"/>
                <w:szCs w:val="19"/>
              </w:rPr>
              <w:t xml:space="preserve">24.5%</w:t>
            </w:r>
          </w:p>
        </w:tc>
        <w:tc>
          <w:tcPr>
            <w:tcW w:type="dxa" w:w="140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right"/>
            </w:pPr>
            <w:r>
              <w:rPr>
                <w:b w:val="false"/>
                <w:bCs w:val="false"/>
                <w:sz w:val="19"/>
                <w:szCs w:val="19"/>
              </w:rPr>
              <w:t xml:space="preserve">29.5%</w:t>
            </w:r>
          </w:p>
        </w:tc>
        <w:tc>
          <w:tcPr>
            <w:tcW w:type="dxa" w:w="140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right"/>
            </w:pPr>
            <w:r>
              <w:rPr>
                <w:b w:val="false"/>
                <w:bCs w:val="false"/>
                <w:sz w:val="19"/>
                <w:szCs w:val="19"/>
              </w:rPr>
              <w:t xml:space="preserve">35.1%</w:t>
            </w:r>
          </w:p>
        </w:tc>
        <w:tc>
          <w:tcPr>
            <w:tcW w:type="dxa" w:w="1404"/>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right"/>
            </w:pPr>
            <w:r>
              <w:rPr>
                <w:b w:val="false"/>
                <w:bCs w:val="false"/>
                <w:sz w:val="19"/>
                <w:szCs w:val="19"/>
              </w:rPr>
              <w:t xml:space="preserve">43.5%</w:t>
            </w:r>
          </w:p>
        </w:tc>
      </w:tr>
    </w:tbl>
    <w:p>
      <w:pPr>
        <w:spacing w:after="200" w:before="80"/>
      </w:pPr>
      <w:r>
        <w:rPr>
          <w:color w:val="52514E"/>
          <w:sz w:val="18"/>
          <w:szCs w:val="18"/>
        </w:rPr>
        <w:t xml:space="preserve">Sin trabajo, no terminar la primaria y la falta de un aparato de apoyo crecen con la calificación. La falta de afiliación a salud casi no cambia y la vivienda precaria no crece.</w:t>
      </w:r>
    </w:p>
    <w:p>
      <w:pPr>
        <w:pStyle w:val="Heading2"/>
      </w:pPr>
      <w:r>
        <w:t xml:space="preserve">7.1 Por estado</w:t>
      </w:r>
    </w:p>
    <w:p>
      <w:pPr>
        <w:keepNext/>
        <w:spacing w:after="60" w:before="120"/>
        <w:jc w:val="center"/>
      </w:pPr>
      <w:r>
        <w:drawing>
          <wp:inline distT="0" distB="0" distL="0" distR="0">
            <wp:extent cx="5715000" cy="39052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05250"/>
                    </a:xfrm>
                    <a:prstGeom prst="rect">
                      <a:avLst/>
                    </a:prstGeom>
                  </pic:spPr>
                </pic:pic>
              </a:graphicData>
            </a:graphic>
          </wp:inline>
        </w:drawing>
      </w:r>
    </w:p>
    <w:p>
      <w:pPr>
        <w:spacing w:after="200" w:before="80"/>
      </w:pPr>
      <w:r>
        <w:rPr>
          <w:b/>
          <w:bCs/>
          <w:color w:val="52514E"/>
          <w:sz w:val="18"/>
          <w:szCs w:val="18"/>
        </w:rPr>
        <w:t xml:space="preserve">Figura 2.</w:t>
      </w:r>
      <w:r>
        <w:rPr>
          <w:color w:val="52514E"/>
          <w:sz w:val="18"/>
          <w:szCs w:val="18"/>
        </w:rPr>
        <w:t xml:space="preserve"> Carencias promedio por estado, adultos de 18 a 64 años. Solo estados con al menos 200 adultos en la base.</w:t>
      </w:r>
    </w:p>
    <w:p>
      <w:pPr>
        <w:spacing w:after="140"/>
      </w:pPr>
      <w:r>
        <w:t xml:space="preserve">En Guanajuato, el 74.5% de los adultos no tiene afiliación a servicios de salud (43.2% nacional) y el 65.6% está sin trabajo (52.4% nacional).</w:t>
      </w:r>
    </w:p>
    <w:p>
      <w:pPr>
        <w:pStyle w:val="Heading2"/>
      </w:pPr>
      <w:r>
        <w:t xml:space="preserve">7.2 Por lengua indígena</w:t>
      </w:r>
    </w:p>
    <w:p>
      <w:pPr>
        <w:spacing w:after="140"/>
      </w:pPr>
      <w:r>
        <w:t xml:space="preserve">A nivel nacional, los 1,199 adultos que hablan una lengua indígena promedian 2.02 carencias, contra 1.41 de quienes no la hablan. El 64.0% no tiene afiliación a salud (contra 42.6%) y el 30.9% no terminó la primaria (contra 14.7%).</w:t>
      </w:r>
    </w:p>
    <w:p>
      <w:pPr>
        <w:pStyle w:val="Heading1"/>
      </w:pPr>
      <w:r>
        <w:t xml:space="preserve">8. Limitaciones</w:t>
      </w:r>
    </w:p>
    <w:p>
      <w:pPr>
        <w:pStyle w:val="ListParagraph"/>
        <w:numPr>
          <w:ilvl w:val="0"/>
          <w:numId w:val="2"/>
        </w:numPr>
        <w:spacing w:after="70"/>
      </w:pPr>
      <w:r>
        <w:rPr>
          <w:b/>
          <w:bCs/>
        </w:rPr>
        <w:t xml:space="preserve">No es la pobreza oficial.</w:t>
      </w:r>
      <w:r>
        <w:t xml:space="preserve"> Las carencias son una aproximación con las columnas disponibles; la base no trae ingreso.</w:t>
      </w:r>
    </w:p>
    <w:p>
      <w:pPr>
        <w:pStyle w:val="ListParagraph"/>
        <w:numPr>
          <w:ilvl w:val="0"/>
          <w:numId w:val="2"/>
        </w:numPr>
        <w:spacing w:after="70"/>
      </w:pPr>
      <w:r>
        <w:rPr>
          <w:b/>
          <w:bCs/>
        </w:rPr>
        <w:t xml:space="preserve">No dice qué causa qué.</w:t>
      </w:r>
      <w:r>
        <w:t xml:space="preserve"> Se observa que carencias y discapacidad van juntas, no si una provoca a la otra.</w:t>
      </w:r>
    </w:p>
    <w:p>
      <w:pPr>
        <w:pStyle w:val="ListParagraph"/>
        <w:numPr>
          <w:ilvl w:val="0"/>
          <w:numId w:val="2"/>
        </w:numPr>
        <w:spacing w:after="70"/>
      </w:pPr>
      <w:r>
        <w:rPr>
          <w:b/>
          <w:bCs/>
        </w:rPr>
        <w:t xml:space="preserve">Todas las personas tienen certificado.</w:t>
      </w:r>
      <w:r>
        <w:t xml:space="preserve"> No se puede comparar contra personas sin discapacidad ni estimar cuánta población tiene una discapacidad.</w:t>
      </w:r>
    </w:p>
    <w:p>
      <w:pPr>
        <w:pStyle w:val="ListParagraph"/>
        <w:numPr>
          <w:ilvl w:val="0"/>
          <w:numId w:val="2"/>
        </w:numPr>
        <w:spacing w:after="70"/>
      </w:pPr>
      <w:r>
        <w:rPr>
          <w:b/>
          <w:bCs/>
        </w:rPr>
        <w:t xml:space="preserve">Los estados no son muestras representativas.</w:t>
      </w:r>
      <w:r>
        <w:t xml:space="preserve"> Quién aparece depende de dónde se emiten certificados.</w:t>
      </w:r>
    </w:p>
    <w:p>
      <w:pPr>
        <w:pStyle w:val="ListParagraph"/>
        <w:numPr>
          <w:ilvl w:val="0"/>
          <w:numId w:val="2"/>
        </w:numPr>
        <w:spacing w:after="70"/>
      </w:pPr>
      <w:r>
        <w:rPr>
          <w:b/>
          <w:bCs/>
        </w:rPr>
        <w:t xml:space="preserve">«Sin trabajo» se traslapa con la discapacidad.</w:t>
      </w:r>
      <w:r>
        <w:t xml:space="preserve"> La respuesta más frecuente menciona barreras del entorno.</w:t>
      </w:r>
    </w:p>
    <w:p>
      <w:pPr>
        <w:pStyle w:val="ListParagraph"/>
        <w:numPr>
          <w:ilvl w:val="0"/>
          <w:numId w:val="2"/>
        </w:numPr>
        <w:spacing w:after="70"/>
      </w:pPr>
      <w:r>
        <w:rPr>
          <w:b/>
          <w:bCs/>
        </w:rPr>
        <w:t xml:space="preserve">La relación es débil persona por persona.</w:t>
      </w:r>
      <w:r>
        <w:t xml:space="preserve"> La correlación de Spearman es baja aunque los promedios por grupo sean consistentes.</w:t>
      </w:r>
    </w:p>
    <w:p>
      <w:pPr>
        <w:pStyle w:val="ListParagraph"/>
        <w:numPr>
          <w:ilvl w:val="0"/>
          <w:numId w:val="2"/>
        </w:numPr>
        <w:spacing w:after="70"/>
      </w:pPr>
      <w:r>
        <w:rPr>
          <w:b/>
          <w:bCs/>
        </w:rPr>
        <w:t xml:space="preserve">K-means quedó como base.</w:t>
      </w:r>
      <w:r>
        <w:t xml:space="preserve"> El número de grupos no está justificado por el método del codo y los grupos no se han validado.</w:t>
      </w:r>
    </w:p>
    <w:p>
      <w:pPr>
        <w:pStyle w:val="Heading1"/>
      </w:pPr>
      <w:r>
        <w:t xml:space="preserve">9. Archivos generados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cantSplit/>
          <w:tblHeader/>
        </w:trPr>
        <w:tc>
          <w:tcPr>
            <w:tcW w:type="dxa" w:w="2995"/>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left"/>
            </w:pPr>
            <w:r>
              <w:rPr>
                <w:b/>
                <w:bCs/>
                <w:sz w:val="19"/>
                <w:szCs w:val="19"/>
              </w:rPr>
              <w:t xml:space="preserve">Archivo</w:t>
            </w:r>
          </w:p>
        </w:tc>
        <w:tc>
          <w:tcPr>
            <w:tcW w:type="dxa" w:w="6365"/>
            <w:tcBorders>
              <w:top w:val="single" w:color="D9D8D2" w:sz="4"/>
              <w:left w:val="single" w:color="D9D8D2" w:sz="4"/>
              <w:bottom w:val="single" w:color="D9D8D2" w:sz="4"/>
              <w:right w:val="single" w:color="D9D8D2" w:sz="4"/>
            </w:tcBorders>
            <w:shd w:fill="F0EFEC" w:color="auto" w:val="clear"/>
            <w:tcMar>
              <w:top w:type="dxa" w:w="60"/>
              <w:left w:type="dxa" w:w="110"/>
              <w:bottom w:type="dxa" w:w="60"/>
              <w:right w:type="dxa" w:w="110"/>
            </w:tcMar>
          </w:tcPr>
          <w:p>
            <w:pPr>
              <w:keepNext/>
              <w:jc w:val="left"/>
            </w:pPr>
            <w:r>
              <w:rPr>
                <w:b/>
                <w:bCs/>
                <w:sz w:val="19"/>
                <w:szCs w:val="19"/>
              </w:rPr>
              <w:t xml:space="preserve">Qué hace</w:t>
            </w:r>
          </w:p>
        </w:tc>
      </w:tr>
      <w:tr>
        <w:trPr>
          <w:cantSplit/>
        </w:trPr>
        <w:tc>
          <w:tcPr>
            <w:tcW w:type="dxa" w:w="2995"/>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extraccion_entidad.py</w:t>
            </w:r>
          </w:p>
        </w:tc>
        <w:tc>
          <w:tcPr>
            <w:tcW w:type="dxa" w:w="6365"/>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Filtra un estado y genera Datos_Guanajuato.xlsx con las columnas elegidas</w:t>
            </w:r>
          </w:p>
        </w:tc>
      </w:tr>
      <w:tr>
        <w:trPr>
          <w:cantSplit/>
        </w:trPr>
        <w:tc>
          <w:tcPr>
            <w:tcW w:type="dxa" w:w="2995"/>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kmeans.py</w:t>
            </w:r>
          </w:p>
        </w:tc>
        <w:tc>
          <w:tcPr>
            <w:tcW w:type="dxa" w:w="6365"/>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K-means con NumPy y método del codo sobre el archivo reducido</w:t>
            </w:r>
          </w:p>
        </w:tc>
      </w:tr>
      <w:tr>
        <w:trPr>
          <w:cantSplit/>
        </w:trPr>
        <w:tc>
          <w:tcPr>
            <w:tcW w:type="dxa" w:w="2995"/>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carencias.py</w:t>
            </w:r>
          </w:p>
        </w:tc>
        <w:tc>
          <w:tcPr>
            <w:tcW w:type="dxa" w:w="6365"/>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Calcula las cinco carencias y genera Carencias.xlsx con cuatro tablas</w:t>
            </w:r>
          </w:p>
        </w:tc>
      </w:tr>
      <w:tr>
        <w:trPr>
          <w:cantSplit/>
        </w:trPr>
        <w:tc>
          <w:tcPr>
            <w:tcW w:type="dxa" w:w="2995"/>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interfaz.py</w:t>
            </w:r>
          </w:p>
        </w:tc>
        <w:tc>
          <w:tcPr>
            <w:tcW w:type="dxa" w:w="6365"/>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jc w:val="left"/>
            </w:pPr>
            <w:r>
              <w:rPr>
                <w:b w:val="false"/>
                <w:bCs w:val="false"/>
                <w:sz w:val="19"/>
                <w:szCs w:val="19"/>
              </w:rPr>
              <w:t xml:space="preserve">Calcula los resúmenes por estado y genera interfaz/datos.js</w:t>
            </w:r>
          </w:p>
        </w:tc>
      </w:tr>
      <w:tr>
        <w:trPr>
          <w:cantSplit/>
        </w:trPr>
        <w:tc>
          <w:tcPr>
            <w:tcW w:type="dxa" w:w="2995"/>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left"/>
            </w:pPr>
            <w:r>
              <w:rPr>
                <w:b w:val="false"/>
                <w:bCs w:val="false"/>
                <w:sz w:val="19"/>
                <w:szCs w:val="19"/>
              </w:rPr>
              <w:t xml:space="preserve">interfaz/index.html</w:t>
            </w:r>
          </w:p>
        </w:tc>
        <w:tc>
          <w:tcPr>
            <w:tcW w:type="dxa" w:w="6365"/>
            <w:tcBorders>
              <w:top w:val="single" w:color="D9D8D2" w:sz="4"/>
              <w:left w:val="single" w:color="D9D8D2" w:sz="4"/>
              <w:bottom w:val="single" w:color="D9D8D2" w:sz="4"/>
              <w:right w:val="single" w:color="D9D8D2" w:sz="4"/>
            </w:tcBorders>
            <w:tcMar>
              <w:top w:type="dxa" w:w="60"/>
              <w:left w:type="dxa" w:w="110"/>
              <w:bottom w:type="dxa" w:w="60"/>
              <w:right w:type="dxa" w:w="110"/>
            </w:tcMar>
          </w:tcPr>
          <w:p>
            <w:pPr>
              <w:keepNext w:val="false"/>
              <w:jc w:val="left"/>
            </w:pPr>
            <w:r>
              <w:rPr>
                <w:b w:val="false"/>
                <w:bCs w:val="false"/>
                <w:sz w:val="19"/>
                <w:szCs w:val="19"/>
              </w:rPr>
              <w:t xml:space="preserve">Interfaz gráfica con los ámbitos de discapacidad, economía y su relación</w:t>
            </w:r>
          </w:p>
        </w:tc>
      </w:tr>
    </w:tbl>
    <w:p>
      <w:pPr>
        <w:pStyle w:val="Heading1"/>
      </w:pPr>
      <w:r>
        <w:t xml:space="preserve">Referencias</w:t>
      </w:r>
    </w:p>
    <w:p>
      <w:pPr>
        <w:spacing w:after="120"/>
        <w:ind w:left="720" w:hanging="720"/>
        <w:jc w:val="left"/>
      </w:pPr>
      <w:r>
        <w:t xml:space="preserve">Alkire, S. y Foster, J. (2011). Counting and multidimensional poverty measurement. </w:t>
      </w:r>
      <w:r>
        <w:rPr>
          <w:i/>
          <w:iCs/>
        </w:rPr>
        <w:t xml:space="preserve">Journal of Public Economics, 95</w:t>
      </w:r>
      <w:r>
        <w:t xml:space="preserve">(7-8), 476-487. https://doi.org/10.1016/j.jpubeco.2010.11.006</w:t>
      </w:r>
    </w:p>
    <w:p>
      <w:pPr>
        <w:spacing w:after="120"/>
        <w:ind w:left="720" w:hanging="720"/>
        <w:jc w:val="left"/>
      </w:pPr>
      <w:r>
        <w:t xml:space="preserve">Consejo Nacional de Evaluación de la Política de Desarrollo Social. (2019). </w:t>
      </w:r>
      <w:r>
        <w:rPr>
          <w:i/>
          <w:iCs/>
        </w:rPr>
        <w:t xml:space="preserve">Metodología para la medición multidimensional de la pobreza en México</w:t>
      </w:r>
      <w:r>
        <w:t xml:space="preserve"> (3.ª ed.). CONEVAL.</w:t>
      </w:r>
    </w:p>
    <w:p>
      <w:pPr>
        <w:spacing w:after="120"/>
        <w:ind w:left="720" w:hanging="720"/>
        <w:jc w:val="left"/>
      </w:pPr>
      <w:r>
        <w:t xml:space="preserve">Harris, C. R., Millman, K. J., van der Walt, S. J., Gommers, R., Virtanen, P., Cournapeau, D., … Oliphant, T. E. (2020). Array programming with NumPy. </w:t>
      </w:r>
      <w:r>
        <w:rPr>
          <w:i/>
          <w:iCs/>
        </w:rPr>
        <w:t xml:space="preserve">Nature, 585</w:t>
      </w:r>
      <w:r>
        <w:t xml:space="preserve">, 357-362. https://doi.org/10.1038/s41586-020-2649-2</w:t>
      </w:r>
    </w:p>
    <w:p>
      <w:pPr>
        <w:spacing w:after="120"/>
        <w:ind w:left="720" w:hanging="720"/>
        <w:jc w:val="left"/>
      </w:pPr>
      <w:r>
        <w:t xml:space="preserve">Hunter, J. D. (2007). Matplotlib: A 2D graphics environment. </w:t>
      </w:r>
      <w:r>
        <w:rPr>
          <w:i/>
          <w:iCs/>
        </w:rPr>
        <w:t xml:space="preserve">Computing in Science &amp; Engineering, 9</w:t>
      </w:r>
      <w:r>
        <w:t xml:space="preserve">(3), 90-95. https://doi.org/10.1109/MCSE.2007.55</w:t>
      </w:r>
    </w:p>
    <w:p>
      <w:pPr>
        <w:spacing w:after="120"/>
        <w:ind w:left="720" w:hanging="720"/>
        <w:jc w:val="left"/>
      </w:pPr>
      <w:r>
        <w:t xml:space="preserve">Lloyd, S. P. (1982). Least squares quantization in PCM. </w:t>
      </w:r>
      <w:r>
        <w:rPr>
          <w:i/>
          <w:iCs/>
        </w:rPr>
        <w:t xml:space="preserve">IEEE Transactions on Information Theory, 28</w:t>
      </w:r>
      <w:r>
        <w:t xml:space="preserve">(2), 129-137. https://doi.org/10.1109/TIT.1982.1056489</w:t>
      </w:r>
    </w:p>
    <w:p>
      <w:pPr>
        <w:spacing w:after="120"/>
        <w:ind w:left="720" w:hanging="720"/>
        <w:jc w:val="left"/>
      </w:pPr>
      <w:r>
        <w:t xml:space="preserve">MacQueen, J. (1967). Some methods for classification and analysis of multivariate observations. En L. M. Le Cam y J. Neyman (Eds.), </w:t>
      </w:r>
      <w:r>
        <w:rPr>
          <w:i/>
          <w:iCs/>
        </w:rPr>
        <w:t xml:space="preserve">Proceedings of the Fifth Berkeley Symposium on Mathematical Statistics and Probability</w:t>
      </w:r>
      <w:r>
        <w:t xml:space="preserve"> (Vol. 1, pp. 281-297). University of California Press.</w:t>
      </w:r>
    </w:p>
    <w:p>
      <w:pPr>
        <w:spacing w:after="120"/>
        <w:ind w:left="720" w:hanging="720"/>
        <w:jc w:val="left"/>
      </w:pPr>
      <w:r>
        <w:t xml:space="preserve">McKinney, W. (2010). Data structures for statistical computing in Python. En S. van der Walt y J. Millman (Eds.), </w:t>
      </w:r>
      <w:r>
        <w:rPr>
          <w:i/>
          <w:iCs/>
        </w:rPr>
        <w:t xml:space="preserve">Proceedings of the 9th Python in Science Conference</w:t>
      </w:r>
      <w:r>
        <w:t xml:space="preserve"> (pp. 56-61). https://doi.org/10.25080/Majora-92bf1922-00a</w:t>
      </w:r>
    </w:p>
    <w:p>
      <w:pPr>
        <w:spacing w:after="120"/>
        <w:ind w:left="720" w:hanging="720"/>
        <w:jc w:val="left"/>
      </w:pPr>
      <w:r>
        <w:t xml:space="preserve">Mitra, S., Posarac, A. y Vick, B. (2013). Disability and poverty in developing countries: A multidimensional study. </w:t>
      </w:r>
      <w:r>
        <w:rPr>
          <w:i/>
          <w:iCs/>
        </w:rPr>
        <w:t xml:space="preserve">World Development, 41</w:t>
      </w:r>
      <w:r>
        <w:t xml:space="preserve">, 1-18. https://doi.org/10.1016/j.worlddev.2012.05.024</w:t>
      </w:r>
    </w:p>
    <w:p>
      <w:pPr>
        <w:spacing w:after="120"/>
        <w:ind w:left="720" w:hanging="720"/>
        <w:jc w:val="left"/>
      </w:pPr>
      <w:r>
        <w:t xml:space="preserve">Organización Mundial de la Salud. (2001). </w:t>
      </w:r>
      <w:r>
        <w:rPr>
          <w:i/>
          <w:iCs/>
        </w:rPr>
        <w:t xml:space="preserve">Clasificación Internacional del Funcionamiento, de la Discapacidad y de la Salud (CIF)</w:t>
      </w:r>
      <w:r>
        <w:t xml:space="preserve">. OMS.</w:t>
      </w:r>
    </w:p>
    <w:p>
      <w:pPr>
        <w:spacing w:after="120"/>
        <w:ind w:left="720" w:hanging="720"/>
        <w:jc w:val="left"/>
      </w:pPr>
      <w:r>
        <w:t xml:space="preserve">Organización Mundial de la Salud. (2022). </w:t>
      </w:r>
      <w:r>
        <w:rPr>
          <w:i/>
          <w:iCs/>
        </w:rPr>
        <w:t xml:space="preserve">Clasificación Internacional de Enfermedades, undécima revisión (CIE-11)</w:t>
      </w:r>
      <w:r>
        <w:t xml:space="preserve">. https://icd.who.int/</w:t>
      </w:r>
    </w:p>
    <w:p>
      <w:pPr>
        <w:spacing w:after="120"/>
        <w:ind w:left="720" w:hanging="720"/>
        <w:jc w:val="left"/>
      </w:pPr>
      <w:r>
        <w:t xml:space="preserve">Organización Mundial de la Salud y Banco Mundial. (2011). </w:t>
      </w:r>
      <w:r>
        <w:rPr>
          <w:i/>
          <w:iCs/>
        </w:rPr>
        <w:t xml:space="preserve">Informe mundial sobre la discapacidad</w:t>
      </w:r>
      <w:r>
        <w:t xml:space="preserve">. OMS.</w:t>
      </w:r>
    </w:p>
    <w:p>
      <w:pPr>
        <w:spacing w:after="120"/>
        <w:ind w:left="720" w:hanging="720"/>
        <w:jc w:val="left"/>
      </w:pPr>
      <w:r>
        <w:t xml:space="preserve">Secretaría de Salud. (2024, 2 de febrero). Norma Oficial Mexicana NOM-039-SSA-2023, En materia de certificación de la discapacidad. </w:t>
      </w:r>
      <w:r>
        <w:rPr>
          <w:i/>
          <w:iCs/>
        </w:rPr>
        <w:t xml:space="preserve">Diario Oficial de la Federación</w:t>
      </w:r>
      <w:r>
        <w:t xml:space="preserve">.</w:t>
      </w:r>
    </w:p>
    <w:p>
      <w:pPr>
        <w:spacing w:after="120"/>
        <w:ind w:left="720" w:hanging="720"/>
        <w:jc w:val="left"/>
      </w:pPr>
      <w:r>
        <w:t xml:space="preserve">Spearman, C. (1904). The proof and measurement of association between two things. </w:t>
      </w:r>
      <w:r>
        <w:rPr>
          <w:i/>
          <w:iCs/>
        </w:rPr>
        <w:t xml:space="preserve">The American Journal of Psychology, 15</w:t>
      </w:r>
      <w:r>
        <w:t xml:space="preserve">(1), 72-101. https://doi.org/10.2307/1412159</w:t>
      </w:r>
    </w:p>
    <w:p>
      <w:pPr>
        <w:spacing w:after="120"/>
        <w:ind w:left="720" w:hanging="720"/>
        <w:jc w:val="left"/>
      </w:pPr>
      <w:r>
        <w:t xml:space="preserve">Thorndike, R. L. (1953). Who belongs in the family? </w:t>
      </w:r>
      <w:r>
        <w:rPr>
          <w:i/>
          <w:iCs/>
        </w:rPr>
        <w:t xml:space="preserve">Psychometrika, 18</w:t>
      </w:r>
      <w:r>
        <w:t xml:space="preserve">(4), 267-276. https://doi.org/10.1007/BF02289263</w:t>
      </w:r>
    </w:p>
    <w:p>
      <w:pPr>
        <w:spacing w:after="120"/>
        <w:ind w:left="720" w:hanging="720"/>
        <w:jc w:val="left"/>
      </w:pPr>
      <w:r>
        <w:t xml:space="preserve">Üstün, T. B., Kostanjsek, N., Chatterji, S. y Rehm, J. (Eds.). (2010). </w:t>
      </w:r>
      <w:r>
        <w:rPr>
          <w:i/>
          <w:iCs/>
        </w:rPr>
        <w:t xml:space="preserve">Measuring health and disability: Manual for WHO Disability Assessment Schedule (WHODAS 2.0)</w:t>
      </w:r>
      <w:r>
        <w:t xml:space="preserve">. Organización Mundial de la Salud.</w:t>
      </w:r>
    </w:p>
    <w:p>
      <w:pPr>
        <w:spacing w:after="120"/>
        <w:ind w:left="720" w:hanging="720"/>
        <w:jc w:val="left"/>
      </w:pPr>
      <w:r>
        <w:rPr>
          <w:highlight w:val="yellow"/>
        </w:rPr>
        <w:t xml:space="preserve">[Completar: fuente oficial de la base de datos del Datatón, con institución, año y enlace.]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9878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0B0B0B"/>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0B0B0B"/>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a6f5e47e1acd2756a4f204994d15c1c8cf9081c.png"/><Relationship Id="rId9" Type="http://schemas.openxmlformats.org/officeDocument/2006/relationships/image" Target="media/48071a3a4f0790421d1975ccc29f2921774312b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Discapacidad y condiciones económicas</dc:title>
  <dc:creator>Diego Tadeo Perez Hernandez</dc:creator>
  <cp:lastModifiedBy>Un-named</cp:lastModifiedBy>
  <cp:revision>1</cp:revision>
  <dcterms:created xsi:type="dcterms:W3CDTF">2026-10-12T20:32:51.828Z</dcterms:created>
  <dcterms:modified xsi:type="dcterms:W3CDTF">2026-10-12T20:32:51.831Z</dcterms:modified>
</cp:coreProperties>
</file>

<file path=docProps/custom.xml><?xml version="1.0" encoding="utf-8"?>
<Properties xmlns="http://schemas.openxmlformats.org/officeDocument/2006/custom-properties" xmlns:vt="http://schemas.openxmlformats.org/officeDocument/2006/docPropsVTypes"/>
</file>