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Testes</w:t>
      </w:r>
    </w:p>
    <w:p>
      <w:r>
        <w:t>Módulo de autenticação | Sprint 08 | 19–23 de outubro de 2026</w:t>
      </w:r>
    </w:p>
    <w:p>
      <w:r>
        <w:t>DOCUMENTO DEMONSTRATIVO — Dados e sistema inteiramente fictícios. Não representa testes executados em produto real.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Controle</w:t>
            </w:r>
          </w:p>
        </w:tc>
        <w:tc>
          <w:tcPr>
            <w:tcW w:type="dxa" w:w="4896"/>
          </w:tcPr>
          <w:p>
            <w:r>
              <w:t>Definição</w:t>
            </w:r>
          </w:p>
        </w:tc>
      </w:tr>
      <w:tr>
        <w:tc>
          <w:tcPr>
            <w:tcW w:type="dxa" w:w="4896"/>
          </w:tcPr>
          <w:p>
            <w:r>
              <w:t>Identificador</w:t>
            </w:r>
          </w:p>
        </w:tc>
        <w:tc>
          <w:tcPr>
            <w:tcW w:type="dxa" w:w="4896"/>
          </w:tcPr>
          <w:p>
            <w:r>
              <w:t>PT-AUT-008</w:t>
            </w:r>
          </w:p>
        </w:tc>
      </w:tr>
      <w:tr>
        <w:tc>
          <w:tcPr>
            <w:tcW w:type="dxa" w:w="4896"/>
          </w:tcPr>
          <w:p>
            <w:r>
              <w:t>Versão / situação</w:t>
            </w:r>
          </w:p>
        </w:tc>
        <w:tc>
          <w:tcPr>
            <w:tcW w:type="dxa" w:w="4896"/>
          </w:tcPr>
          <w:p>
            <w:r>
              <w:t>1.0 • Planejamento de referência</w:t>
            </w:r>
          </w:p>
        </w:tc>
      </w:tr>
      <w:tr>
        <w:tc>
          <w:tcPr>
            <w:tcW w:type="dxa" w:w="4896"/>
          </w:tcPr>
          <w:p>
            <w:r>
              <w:t>Sistema</w:t>
            </w:r>
          </w:p>
        </w:tc>
        <w:tc>
          <w:tcPr>
            <w:tcW w:type="dxa" w:w="4896"/>
          </w:tcPr>
          <w:p>
            <w:r>
              <w:t>Portal Web Fictício — Autenticação</w:t>
            </w:r>
          </w:p>
        </w:tc>
      </w:tr>
      <w:tr>
        <w:tc>
          <w:tcPr>
            <w:tcW w:type="dxa" w:w="4896"/>
          </w:tcPr>
          <w:p>
            <w:r>
              <w:t>Responsável</w:t>
            </w:r>
          </w:p>
        </w:tc>
        <w:tc>
          <w:tcPr>
            <w:tcW w:type="dxa" w:w="4896"/>
          </w:tcPr>
          <w:p>
            <w:r>
              <w:t>Equipe de QA (fictícia)</w:t>
            </w:r>
          </w:p>
        </w:tc>
      </w:tr>
      <w:tr>
        <w:tc>
          <w:tcPr>
            <w:tcW w:type="dxa" w:w="4896"/>
          </w:tcPr>
          <w:p>
            <w:r>
              <w:t>Janela de execução</w:t>
            </w:r>
          </w:p>
        </w:tc>
        <w:tc>
          <w:tcPr>
            <w:tcW w:type="dxa" w:w="4896"/>
          </w:tcPr>
          <w:p>
            <w:r>
              <w:t>19 a 23/10/2026</w:t>
            </w:r>
          </w:p>
        </w:tc>
      </w:tr>
      <w:tr>
        <w:tc>
          <w:tcPr>
            <w:tcW w:type="dxa" w:w="4896"/>
          </w:tcPr>
          <w:p>
            <w:r>
              <w:t>Artefatos relacionados</w:t>
            </w:r>
          </w:p>
        </w:tc>
        <w:tc>
          <w:tcPr>
            <w:tcW w:type="dxa" w:w="4896"/>
          </w:tcPr>
          <w:p>
            <w:r>
              <w:t>Matriz de Riscos demonstrativa; Status Report demonstrativo</w:t>
            </w:r>
          </w:p>
        </w:tc>
      </w:tr>
    </w:tbl>
    <w:p>
      <w:pPr>
        <w:pStyle w:val="Heading1"/>
      </w:pPr>
      <w:r>
        <w:t>1. Objetivo e abordagem</w:t>
      </w:r>
    </w:p>
    <w:p>
      <w:r>
        <w:t>Validar os fluxos essenciais de autenticação e os controles de segurança da sessão, identificando defeitos que possam comprometer acesso, privacidade e continuidade de uso. A abordagem é baseada em riscos: fluxos de acesso indevido e invalidação de sessão recebem prioridade máxima.</w:t>
      </w:r>
    </w:p>
    <w:p>
      <w:pPr>
        <w:pStyle w:val="Heading1"/>
      </w:pPr>
      <w:r>
        <w:t>2. Escopo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Incluído</w:t>
            </w:r>
          </w:p>
        </w:tc>
        <w:tc>
          <w:tcPr>
            <w:tcW w:type="dxa" w:w="4896"/>
          </w:tcPr>
          <w:p>
            <w:r>
              <w:t>Fora do escopo</w:t>
            </w:r>
          </w:p>
        </w:tc>
      </w:tr>
      <w:tr>
        <w:tc>
          <w:tcPr>
            <w:tcW w:type="dxa" w:w="4896"/>
          </w:tcPr>
          <w:p>
            <w:r>
              <w:t>Login com credenciais válidas e inválidas</w:t>
            </w:r>
          </w:p>
        </w:tc>
        <w:tc>
          <w:tcPr>
            <w:tcW w:type="dxa" w:w="4896"/>
          </w:tcPr>
          <w:p>
            <w:r>
              <w:t>Cadastro de novos usuários</w:t>
            </w:r>
          </w:p>
        </w:tc>
      </w:tr>
      <w:tr>
        <w:tc>
          <w:tcPr>
            <w:tcW w:type="dxa" w:w="4896"/>
          </w:tcPr>
          <w:p>
            <w:r>
              <w:t>Usuário bloqueado e restrição de acesso</w:t>
            </w:r>
          </w:p>
        </w:tc>
        <w:tc>
          <w:tcPr>
            <w:tcW w:type="dxa" w:w="4896"/>
          </w:tcPr>
          <w:p>
            <w:r>
              <w:t>Autenticação social e biometria</w:t>
            </w:r>
          </w:p>
        </w:tc>
      </w:tr>
      <w:tr>
        <w:tc>
          <w:tcPr>
            <w:tcW w:type="dxa" w:w="4896"/>
          </w:tcPr>
          <w:p>
            <w:r>
              <w:t>Logout e invalidação de sessão</w:t>
            </w:r>
          </w:p>
        </w:tc>
        <w:tc>
          <w:tcPr>
            <w:tcW w:type="dxa" w:w="4896"/>
          </w:tcPr>
          <w:p>
            <w:r>
              <w:t>Teste de carga em escala</w:t>
            </w:r>
          </w:p>
        </w:tc>
      </w:tr>
      <w:tr>
        <w:tc>
          <w:tcPr>
            <w:tcW w:type="dxa" w:w="4896"/>
          </w:tcPr>
          <w:p>
            <w:r>
              <w:t>Recuperação de senha e tratamento de indisponibilidade</w:t>
            </w:r>
          </w:p>
        </w:tc>
        <w:tc>
          <w:tcPr>
            <w:tcW w:type="dxa" w:w="4896"/>
          </w:tcPr>
          <w:p>
            <w:r>
              <w:t>Auditoria completa de infraestrutura</w:t>
            </w:r>
          </w:p>
        </w:tc>
      </w:tr>
      <w:tr>
        <w:tc>
          <w:tcPr>
            <w:tcW w:type="dxa" w:w="4896"/>
          </w:tcPr>
          <w:p>
            <w:r>
              <w:t>Mensagens de erro, navegação e acesso direto a rotas protegidas</w:t>
            </w:r>
          </w:p>
        </w:tc>
        <w:tc>
          <w:tcPr>
            <w:tcW w:type="dxa" w:w="4896"/>
          </w:tcPr>
          <w:p>
            <w:r>
              <w:t>Testes em aplicativos móveis nativos</w:t>
            </w:r>
          </w:p>
        </w:tc>
      </w:tr>
    </w:tbl>
    <w:p>
      <w:pPr>
        <w:pStyle w:val="Heading1"/>
      </w:pPr>
      <w:r>
        <w:t>3. Estratégia e níveis de teste</w:t>
      </w:r>
    </w:p>
    <w:p>
      <w:r>
        <w:t>Execução manual orientada por cenários, com validações funcionais, negativas, de integração e verificações básicas de segurança da aplicação. Evidências: passos, dados anonimizados, capturas de tela, respostas HTTP relevantes e identificação de defeitos. A regressão é obrigatória após correções de alta severidade.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Prioridade</w:t>
            </w:r>
          </w:p>
        </w:tc>
        <w:tc>
          <w:tcPr>
            <w:tcW w:type="dxa" w:w="3264"/>
          </w:tcPr>
          <w:p>
            <w:r>
              <w:t>Foco</w:t>
            </w:r>
          </w:p>
        </w:tc>
        <w:tc>
          <w:tcPr>
            <w:tcW w:type="dxa" w:w="3264"/>
          </w:tcPr>
          <w:p>
            <w:r>
              <w:t>Exemplos</w:t>
            </w:r>
          </w:p>
        </w:tc>
      </w:tr>
      <w:tr>
        <w:tc>
          <w:tcPr>
            <w:tcW w:type="dxa" w:w="3264"/>
          </w:tcPr>
          <w:p>
            <w:r>
              <w:t>P0 — Crítica</w:t>
            </w:r>
          </w:p>
        </w:tc>
        <w:tc>
          <w:tcPr>
            <w:tcW w:type="dxa" w:w="3264"/>
          </w:tcPr>
          <w:p>
            <w:r>
              <w:t>Autorização e sessão</w:t>
            </w:r>
          </w:p>
        </w:tc>
        <w:tc>
          <w:tcPr>
            <w:tcW w:type="dxa" w:w="3264"/>
          </w:tcPr>
          <w:p>
            <w:r>
              <w:t>Usuário bloqueado; acesso direto; logout; sessão expirada</w:t>
            </w:r>
          </w:p>
        </w:tc>
      </w:tr>
      <w:tr>
        <w:tc>
          <w:tcPr>
            <w:tcW w:type="dxa" w:w="3264"/>
          </w:tcPr>
          <w:p>
            <w:r>
              <w:t>P1 — Alta</w:t>
            </w:r>
          </w:p>
        </w:tc>
        <w:tc>
          <w:tcPr>
            <w:tcW w:type="dxa" w:w="3264"/>
          </w:tcPr>
          <w:p>
            <w:r>
              <w:t>Continuidade do fluxo</w:t>
            </w:r>
          </w:p>
        </w:tc>
        <w:tc>
          <w:tcPr>
            <w:tcW w:type="dxa" w:w="3264"/>
          </w:tcPr>
          <w:p>
            <w:r>
              <w:t>Recuperação de senha; indisponibilidade do serviço</w:t>
            </w:r>
          </w:p>
        </w:tc>
      </w:tr>
      <w:tr>
        <w:tc>
          <w:tcPr>
            <w:tcW w:type="dxa" w:w="3264"/>
          </w:tcPr>
          <w:p>
            <w:r>
              <w:t>P2 — Média</w:t>
            </w:r>
          </w:p>
        </w:tc>
        <w:tc>
          <w:tcPr>
            <w:tcW w:type="dxa" w:w="3264"/>
          </w:tcPr>
          <w:p>
            <w:r>
              <w:t>UX e validações</w:t>
            </w:r>
          </w:p>
        </w:tc>
        <w:tc>
          <w:tcPr>
            <w:tcW w:type="dxa" w:w="3264"/>
          </w:tcPr>
          <w:p>
            <w:r>
              <w:t>Mensagens de erro; campos vazios; feedback visual</w:t>
            </w:r>
          </w:p>
        </w:tc>
      </w:tr>
    </w:tbl>
    <w:p>
      <w:pPr>
        <w:pStyle w:val="Heading1"/>
      </w:pPr>
      <w:r>
        <w:t>4. Distribuição planejada dos 20 casos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Grupo de cenários</w:t>
            </w:r>
          </w:p>
        </w:tc>
        <w:tc>
          <w:tcPr>
            <w:tcW w:type="dxa" w:w="3264"/>
          </w:tcPr>
          <w:p>
            <w:r>
              <w:t>Quantidade</w:t>
            </w:r>
          </w:p>
        </w:tc>
        <w:tc>
          <w:tcPr>
            <w:tcW w:type="dxa" w:w="3264"/>
          </w:tcPr>
          <w:p>
            <w:r>
              <w:t>IDs</w:t>
            </w:r>
          </w:p>
        </w:tc>
      </w:tr>
      <w:tr>
        <w:tc>
          <w:tcPr>
            <w:tcW w:type="dxa" w:w="3264"/>
          </w:tcPr>
          <w:p>
            <w:r>
              <w:t>Login e validações de entrada</w:t>
            </w:r>
          </w:p>
        </w:tc>
        <w:tc>
          <w:tcPr>
            <w:tcW w:type="dxa" w:w="3264"/>
          </w:tcPr>
          <w:p>
            <w:r>
              <w:t>6</w:t>
            </w:r>
          </w:p>
        </w:tc>
        <w:tc>
          <w:tcPr>
            <w:tcW w:type="dxa" w:w="3264"/>
          </w:tcPr>
          <w:p>
            <w:r>
              <w:t>CT-001 a CT-006</w:t>
            </w:r>
          </w:p>
        </w:tc>
      </w:tr>
      <w:tr>
        <w:tc>
          <w:tcPr>
            <w:tcW w:type="dxa" w:w="3264"/>
          </w:tcPr>
          <w:p>
            <w:r>
              <w:t>Bloqueio e autorização</w:t>
            </w:r>
          </w:p>
        </w:tc>
        <w:tc>
          <w:tcPr>
            <w:tcW w:type="dxa" w:w="3264"/>
          </w:tcPr>
          <w:p>
            <w:r>
              <w:t>5</w:t>
            </w:r>
          </w:p>
        </w:tc>
        <w:tc>
          <w:tcPr>
            <w:tcW w:type="dxa" w:w="3264"/>
          </w:tcPr>
          <w:p>
            <w:r>
              <w:t>CT-007 a CT-011</w:t>
            </w:r>
          </w:p>
        </w:tc>
      </w:tr>
      <w:tr>
        <w:tc>
          <w:tcPr>
            <w:tcW w:type="dxa" w:w="3264"/>
          </w:tcPr>
          <w:p>
            <w:r>
              <w:t>Logout e gestão de sessão</w:t>
            </w:r>
          </w:p>
        </w:tc>
        <w:tc>
          <w:tcPr>
            <w:tcW w:type="dxa" w:w="3264"/>
          </w:tcPr>
          <w:p>
            <w:r>
              <w:t>5</w:t>
            </w:r>
          </w:p>
        </w:tc>
        <w:tc>
          <w:tcPr>
            <w:tcW w:type="dxa" w:w="3264"/>
          </w:tcPr>
          <w:p>
            <w:r>
              <w:t>CT-012 a CT-016</w:t>
            </w:r>
          </w:p>
        </w:tc>
      </w:tr>
      <w:tr>
        <w:tc>
          <w:tcPr>
            <w:tcW w:type="dxa" w:w="3264"/>
          </w:tcPr>
          <w:p>
            <w:r>
              <w:t>Recuperação de senha</w:t>
            </w:r>
          </w:p>
        </w:tc>
        <w:tc>
          <w:tcPr>
            <w:tcW w:type="dxa" w:w="3264"/>
          </w:tcPr>
          <w:p>
            <w:r>
              <w:t>4</w:t>
            </w:r>
          </w:p>
        </w:tc>
        <w:tc>
          <w:tcPr>
            <w:tcW w:type="dxa" w:w="3264"/>
          </w:tcPr>
          <w:p>
            <w:r>
              <w:t>CT-017 a CT-020</w:t>
            </w:r>
          </w:p>
        </w:tc>
      </w:tr>
      <w:tr>
        <w:tc>
          <w:tcPr>
            <w:tcW w:type="dxa" w:w="3264"/>
          </w:tcPr>
          <w:p>
            <w:r>
              <w:t>TOTAL</w:t>
            </w:r>
          </w:p>
        </w:tc>
        <w:tc>
          <w:tcPr>
            <w:tcW w:type="dxa" w:w="3264"/>
          </w:tcPr>
          <w:p>
            <w:r>
              <w:t>20</w:t>
            </w:r>
          </w:p>
        </w:tc>
        <w:tc>
          <w:tcPr>
            <w:tcW w:type="dxa" w:w="3264"/>
          </w:tcPr>
          <w:p>
            <w:r>
              <w:t>—</w:t>
            </w:r>
          </w:p>
        </w:tc>
      </w:tr>
    </w:tbl>
    <w:p>
      <w:r>
        <w:t>Os IDs acima representam uma proposta de cobertura e não substituem casos de teste detalhados. A execução e seus resultados são registrados separadamente no Status Report.</w:t>
      </w:r>
    </w:p>
    <w:p>
      <w:pPr>
        <w:pStyle w:val="Heading1"/>
      </w:pPr>
      <w:r>
        <w:t>5. Ambiente, dados e dependências</w:t>
      </w:r>
    </w:p>
    <w:p>
      <w:r>
        <w:t>Ambiente de homologação isolado; navegador desktop atualizado; contas de teste ativas, inválidas e bloqueadas; serviço de recuperação de senha integrado; acesso a logs e respostas de API quando autorizado. Não utilizar credenciais reais nem dados pessoais de clientes.</w:t>
      </w:r>
    </w:p>
    <w:p>
      <w:pPr>
        <w:pStyle w:val="Heading1"/>
      </w:pPr>
      <w:r>
        <w:t>6. Critérios de entrada e saída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Entrada</w:t>
            </w:r>
          </w:p>
        </w:tc>
        <w:tc>
          <w:tcPr>
            <w:tcW w:type="dxa" w:w="4896"/>
          </w:tcPr>
          <w:p>
            <w:r>
              <w:t>Saída / aceite</w:t>
            </w:r>
          </w:p>
        </w:tc>
      </w:tr>
      <w:tr>
        <w:tc>
          <w:tcPr>
            <w:tcW w:type="dxa" w:w="4896"/>
          </w:tcPr>
          <w:p>
            <w:r>
              <w:t>Build implantada e acessível em homologação</w:t>
            </w:r>
          </w:p>
        </w:tc>
        <w:tc>
          <w:tcPr>
            <w:tcW w:type="dxa" w:w="4896"/>
          </w:tcPr>
          <w:p>
            <w:r>
              <w:t>100% dos casos P0 executados e aprovados</w:t>
            </w:r>
          </w:p>
        </w:tc>
      </w:tr>
      <w:tr>
        <w:tc>
          <w:tcPr>
            <w:tcW w:type="dxa" w:w="4896"/>
          </w:tcPr>
          <w:p>
            <w:r>
              <w:t>Contas de teste e serviços dependentes disponíveis</w:t>
            </w:r>
          </w:p>
        </w:tc>
        <w:tc>
          <w:tcPr>
            <w:tcW w:type="dxa" w:w="4896"/>
          </w:tcPr>
          <w:p>
            <w:r>
              <w:t>Nenhum defeito crítico ou alto aberto em autorização/sessão</w:t>
            </w:r>
          </w:p>
        </w:tc>
      </w:tr>
      <w:tr>
        <w:tc>
          <w:tcPr>
            <w:tcW w:type="dxa" w:w="4896"/>
          </w:tcPr>
          <w:p>
            <w:r>
              <w:t>Requisitos e regras de bloqueio conhecidos</w:t>
            </w:r>
          </w:p>
        </w:tc>
        <w:tc>
          <w:tcPr>
            <w:tcW w:type="dxa" w:w="4896"/>
          </w:tcPr>
          <w:p>
            <w:r>
              <w:t>Casos bloqueados resolvidos e regressão concluída</w:t>
            </w:r>
          </w:p>
        </w:tc>
      </w:tr>
      <w:tr>
        <w:tc>
          <w:tcPr>
            <w:tcW w:type="dxa" w:w="4896"/>
          </w:tcPr>
          <w:p>
            <w:r>
              <w:t>Equipe e ferramentas de evidência disponíveis</w:t>
            </w:r>
          </w:p>
        </w:tc>
        <w:tc>
          <w:tcPr>
            <w:tcW w:type="dxa" w:w="4896"/>
          </w:tcPr>
          <w:p>
            <w:r>
              <w:t>Desvios residuais aceitos formalmente pelo responsável</w:t>
            </w:r>
          </w:p>
        </w:tc>
      </w:tr>
    </w:tbl>
    <w:p>
      <w:pPr>
        <w:pStyle w:val="Heading1"/>
      </w:pPr>
      <w:r>
        <w:t>7. Riscos e resposta planejada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Risco</w:t>
            </w:r>
          </w:p>
        </w:tc>
        <w:tc>
          <w:tcPr>
            <w:tcW w:type="dxa" w:w="4896"/>
          </w:tcPr>
          <w:p>
            <w:r>
              <w:t>Tratamento</w:t>
            </w:r>
          </w:p>
        </w:tc>
      </w:tr>
      <w:tr>
        <w:tc>
          <w:tcPr>
            <w:tcW w:type="dxa" w:w="4896"/>
          </w:tcPr>
          <w:p>
            <w:r>
              <w:t>Acesso de usuário bloqueado</w:t>
            </w:r>
          </w:p>
        </w:tc>
        <w:tc>
          <w:tcPr>
            <w:tcW w:type="dxa" w:w="4896"/>
          </w:tcPr>
          <w:p>
            <w:r>
              <w:t>Executar cenários P0; bloquear release diante de falha</w:t>
            </w:r>
          </w:p>
        </w:tc>
      </w:tr>
      <w:tr>
        <w:tc>
          <w:tcPr>
            <w:tcW w:type="dxa" w:w="4896"/>
          </w:tcPr>
          <w:p>
            <w:r>
              <w:t>Sessão ativa após logout</w:t>
            </w:r>
          </w:p>
        </w:tc>
        <w:tc>
          <w:tcPr>
            <w:tcW w:type="dxa" w:w="4896"/>
          </w:tcPr>
          <w:p>
            <w:r>
              <w:t>Verificar invalidação e acesso a rotas protegidas</w:t>
            </w:r>
          </w:p>
        </w:tc>
      </w:tr>
      <w:tr>
        <w:tc>
          <w:tcPr>
            <w:tcW w:type="dxa" w:w="4896"/>
          </w:tcPr>
          <w:p>
            <w:r>
              <w:t>Serviço de recuperação indisponível</w:t>
            </w:r>
          </w:p>
        </w:tc>
        <w:tc>
          <w:tcPr>
            <w:tcW w:type="dxa" w:w="4896"/>
          </w:tcPr>
          <w:p>
            <w:r>
              <w:t>Registrar impedimento, acionar integração e reexecutar</w:t>
            </w:r>
          </w:p>
        </w:tc>
      </w:tr>
      <w:tr>
        <w:tc>
          <w:tcPr>
            <w:tcW w:type="dxa" w:w="4896"/>
          </w:tcPr>
          <w:p>
            <w:r>
              <w:t>Cobertura incompleta</w:t>
            </w:r>
          </w:p>
        </w:tc>
        <w:tc>
          <w:tcPr>
            <w:tcW w:type="dxa" w:w="4896"/>
          </w:tcPr>
          <w:p>
            <w:r>
              <w:t>Monitorar execução diária e priorizar casos P0/P1</w:t>
            </w:r>
          </w:p>
        </w:tc>
      </w:tr>
      <w:tr>
        <w:tc>
          <w:tcPr>
            <w:tcW w:type="dxa" w:w="4896"/>
          </w:tcPr>
          <w:p>
            <w:r>
              <w:t>Mensagens de erro inadequadas</w:t>
            </w:r>
          </w:p>
        </w:tc>
        <w:tc>
          <w:tcPr>
            <w:tcW w:type="dxa" w:w="4896"/>
          </w:tcPr>
          <w:p>
            <w:r>
              <w:t>Validar requisitos de UX e registrar defeito</w:t>
            </w:r>
          </w:p>
        </w:tc>
      </w:tr>
    </w:tbl>
    <w:p>
      <w:pPr>
        <w:pStyle w:val="Heading1"/>
      </w:pPr>
      <w:r>
        <w:t>8. Papéis, comunicação e entregáveis</w:t>
      </w:r>
    </w:p>
    <w:p>
      <w:r>
        <w:t>QA: preparar cenários, executar, evidenciar, registrar defeitos e consolidar status. Desenvolvimento: analisar e corrigir falhas. Produto: esclarecer regras e aceitar riscos residuais. Gestão de release: decidir liberação com base nos critérios de saída. Acompanhamento diário de impedimentos e reporte ao encerramento da sprint.</w:t>
      </w:r>
    </w:p>
    <w:p>
      <w:r>
        <w:t>Entregáveis: catálogo de casos de teste, evidências, registros de defeitos, Matriz de Riscos atualizada e Status Report com recomendação de release.</w:t>
      </w:r>
    </w:p>
    <w:p>
      <w:pPr>
        <w:pStyle w:val="Heading1"/>
      </w:pPr>
      <w:r>
        <w:t>9. Relação com o resultado demonstrativo</w:t>
      </w:r>
    </w:p>
    <w:p>
      <w:r>
        <w:t>No estudo de caso, o Status Report posterior registra 12 aprovados, 3 reprovados, 2 bloqueados e 3 não executados (20 planejados). Foram identificadas falhas de alta severidade envolvendo usuário bloqueado e invalidação de sessão. Portanto, os critérios de saída deste plano não foram atendidos e a recomendação demonstrativa é NÃO LIBERAR até correção, desbloqueio, conclusão dos testes e regressão.</w:t>
      </w:r>
    </w:p>
    <w:p>
      <w:r>
        <w:t>Nota de rastreabilidade: os riscos e os defeitos aqui mencionados são consistentes com os materiais demonstrativos do mesmo estudo de caso; a correspondência exata entre IDs de caso e defeitos deve ser registrada na execução.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Plano de Testes • Exemplo educacional •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QA ENGINEERING LAB  /  ESTUDO DE CASO FICTÍCIO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75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756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7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