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MIDNIGHT GALLERY</w:t>
      </w:r>
    </w:p>
    <w:p>
      <w:pPr>
        <w:pStyle w:val="Heading2"/>
      </w:pPr>
      <w:r>
        <w:t xml:space="preserve">Unit 2 — Assessment 2.6 · The Ultimate Escape Room Challenge</w:t>
      </w:r>
    </w:p>
    <w:p>
      <w:pPr/>
      <w:r>
        <w:rPr>
          <w:b/>
        </w:rPr>
        <w:t xml:space="preserve">Team members:</w:t>
      </w:r>
      <w:r>
        <w:t xml:space="preserve"> </w:t>
      </w:r>
      <w:r>
        <w:rPr>
          <w:b/>
        </w:rPr>
        <w:t xml:space="preserve">Diego Esquivel Martínez</w:t>
      </w:r>
      <w:r>
        <w:t xml:space="preserve">  ·  </w:t>
      </w:r>
      <w:r>
        <w:rPr>
          <w:b/>
        </w:rPr>
        <w:t xml:space="preserve">Santiago</w:t>
      </w:r>
    </w:p>
    <w:p>
      <w:pPr/>
      <w:r>
        <w:rPr>
          <w:b/>
        </w:rPr>
        <w:t xml:space="preserve">Submitted by:</w:t>
      </w:r>
      <w:r>
        <w:t xml:space="preserve"> ____________________________    </w:t>
      </w:r>
      <w:r>
        <w:rPr>
          <w:b/>
        </w:rPr>
        <w:t xml:space="preserve">Date:</w:t>
      </w:r>
      <w:r>
        <w:t xml:space="preserve"> ______________</w:t>
      </w:r>
    </w:p>
    <w:p>
      <w:pPr/>
      <w:r>
        <w:rPr>
          <w:b/>
        </w:rPr>
        <w:t xml:space="preserve">Live link (instructor viewing access, no login needed):</w:t>
      </w:r>
      <w:r>
        <w:t xml:space="preserve"> https://diego-3444.github.io/midnight-gallery/</w:t>
      </w:r>
    </w:p>
    <w:p>
      <w:pPr/>
      <w:r>
        <w:rPr>
          <w:b/>
        </w:rPr>
        <w:t xml:space="preserve">Source and all files:</w:t>
      </w:r>
      <w:r>
        <w:t xml:space="preserve"> https://github.com/Diego-3444/midnight-gallery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 xml:space="preserve">What this is</w:t>
      </w:r>
    </w:p>
    <w:p>
      <w:pPr/>
      <w:r>
        <w:t xml:space="preserve">An original escape room in English. Players are investigators called to the Hollowbrook Museum of Modern Art at seven in the morning, after a painting vanished from a locked gallery and the alarm never went off. Four members of staff hold keys. One of them is lying, and the lie is in writing.</w:t>
      </w:r>
    </w:p>
    <w:p>
      <w:pPr/>
      <w:r>
        <w:rPr>
          <w:b/>
        </w:rPr>
        <w:t xml:space="preserve">Players:</w:t>
      </w:r>
      <w:r>
        <w:t xml:space="preserve"> 3–5 · </w:t>
      </w:r>
      <w:r>
        <w:rPr>
          <w:b/>
        </w:rPr>
        <w:t xml:space="preserve">Playing time:</w:t>
      </w:r>
      <w:r>
        <w:t xml:space="preserve"> 15–20 minutes · </w:t>
      </w:r>
      <w:r>
        <w:rPr>
          <w:b/>
        </w:rPr>
        <w:t xml:space="preserve">Everything is in English.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 xml:space="preserve">How to play it</w:t>
      </w:r>
    </w:p>
    <w:p>
      <w:pPr/>
      <w:r>
        <w:t xml:space="preserve">The escape room is a computer game that runs in a web browser. There are two versions with </w:t>
      </w:r>
      <w:r>
        <w:rPr>
          <w:b/>
        </w:rPr>
        <w:t xml:space="preserve">identical puzzles</w:t>
      </w:r>
      <w:r>
        <w:t xml:space="preserve">:</w:t>
      </w:r>
    </w:p>
    <w:tbl>
      <w:tblPr>
        <w:tblStyle w:val="TableGrid"/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c>
          <w:tcPr>
            <w:tcW w:w="3120" w:type="dxa"/>
            <w:shd w:val="clear" w:fill="F2EFE7"/>
          </w:tcPr>
          <w:p>
            <w:pPr>
              <w:spacing w:before="40" w:after="40"/>
            </w:pPr>
            <w:r>
              <w:rPr>
                <w:b/>
              </w:rPr>
              <w:t xml:space="preserve">Version</w:t>
            </w:r>
          </w:p>
        </w:tc>
        <w:tc>
          <w:tcPr>
            <w:tcW w:w="3120" w:type="dxa"/>
            <w:shd w:val="clear" w:fill="F2EFE7"/>
          </w:tcPr>
          <w:p>
            <w:pPr>
              <w:spacing w:before="40" w:after="40"/>
            </w:pPr>
            <w:r>
              <w:rPr>
                <w:b/>
              </w:rPr>
              <w:t xml:space="preserve">File</w:t>
            </w:r>
          </w:p>
        </w:tc>
        <w:tc>
          <w:tcPr>
            <w:tcW w:w="3120" w:type="dxa"/>
            <w:shd w:val="clear" w:fill="F2EFE7"/>
          </w:tcPr>
          <w:p>
            <w:pPr>
              <w:spacing w:before="4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3120" w:type="dxa"/>
          </w:tcPr>
          <w:p>
            <w:pPr>
              <w:spacing w:before="40" w:after="40"/>
            </w:pPr>
            <w:r>
              <w:t xml:space="preserve">3D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rPr>
                <w:rFonts w:ascii="Menlo" w:hAnsi="Menlo"/>
                <w:sz w:val="19"/>
                <w:shd w:val="clear" w:fill="EFEDE7"/>
              </w:rPr>
              <w:t xml:space="preserve">index.html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Four explorable 3D rooms. Needs a web server — double-click </w:t>
            </w:r>
            <w:r>
              <w:rPr>
                <w:rFonts w:ascii="Menlo" w:hAnsi="Menlo"/>
                <w:sz w:val="19"/>
                <w:shd w:val="clear" w:fill="EFEDE7"/>
              </w:rPr>
              <w:t xml:space="preserve">start-offline.command</w:t>
            </w:r>
          </w:p>
        </w:tc>
      </w:tr>
      <w:tr>
        <w:tc>
          <w:tcPr>
            <w:tcW w:w="3120" w:type="dxa"/>
          </w:tcPr>
          <w:p>
            <w:pPr>
              <w:spacing w:before="40" w:after="40"/>
            </w:pPr>
            <w:r>
              <w:t xml:space="preserve">No-3D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rPr>
                <w:rFonts w:ascii="Menlo" w:hAnsi="Menlo"/>
                <w:sz w:val="19"/>
                <w:shd w:val="clear" w:fill="EFEDE7"/>
              </w:rPr>
              <w:t xml:space="preserve">classic.html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Opens with a double-click anywhere. </w:t>
            </w:r>
            <w:r>
              <w:rPr>
                <w:b/>
              </w:rPr>
              <w:t xml:space="preserve">Use this one if anything goes wrong.</w:t>
            </w:r>
          </w:p>
        </w:tc>
      </w:tr>
    </w:tbl>
    <w:p>
      <w:pPr>
        <w:spacing w:after="0"/>
      </w:pPr>
      <w:r>
        <w:t/>
      </w:r>
    </w:p>
    <w:p>
      <w:pPr/>
      <w:r>
        <w:rPr>
          <w:rFonts w:ascii="Menlo" w:hAnsi="Menlo"/>
          <w:sz w:val="19"/>
          <w:shd w:val="clear" w:fill="EFEDE7"/>
        </w:rPr>
        <w:t xml:space="preserve">classic.html</w:t>
      </w:r>
      <w:r>
        <w:t xml:space="preserve"> is included in this submission folder and opens straight from a double-click, with no setup of any kind.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 xml:space="preserve">Contents of this submission</w:t>
      </w:r>
    </w:p>
    <w:tbl>
      <w:tblPr>
        <w:tblStyle w:val="TableGrid"/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c>
          <w:tcPr>
            <w:tcW w:w="3120" w:type="dxa"/>
            <w:shd w:val="clear" w:fill="F2EFE7"/>
          </w:tcPr>
          <w:p>
            <w:pPr>
              <w:spacing w:before="40" w:after="40"/>
            </w:pPr>
            <w:r>
              <w:rPr>
                <w:b/>
              </w:rPr>
              <w:t xml:space="preserve">File</w:t>
            </w:r>
          </w:p>
        </w:tc>
        <w:tc>
          <w:tcPr>
            <w:tcW w:w="3120" w:type="dxa"/>
            <w:shd w:val="clear" w:fill="F2EFE7"/>
          </w:tcPr>
          <w:p>
            <w:pPr>
              <w:spacing w:before="40" w:after="40"/>
            </w:pPr>
            <w:r>
              <w:rPr>
                <w:b/>
              </w:rPr>
              <w:t xml:space="preserve">What it is</w:t>
            </w:r>
          </w:p>
        </w:tc>
        <w:tc>
          <w:tcPr>
            <w:tcW w:w="3120" w:type="dxa"/>
            <w:shd w:val="clear" w:fill="F2EFE7"/>
          </w:tcPr>
          <w:p>
            <w:pPr>
              <w:spacing w:before="40" w:after="40"/>
            </w:pPr>
            <w:r>
              <w:rPr>
                <w:b/>
              </w:rPr>
              <w:t xml:space="preserve">Rubric item</w:t>
            </w:r>
          </w:p>
        </w:tc>
      </w:tr>
      <w:tr>
        <w:tc>
          <w:tcPr>
            <w:tcW w:w="3120" w:type="dxa"/>
          </w:tcPr>
          <w:p>
            <w:pPr>
              <w:spacing w:before="40" w:after="40"/>
            </w:pPr>
            <w:r>
              <w:t xml:space="preserve">00 — Cover Sheet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This page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>
              <w:spacing w:before="40" w:after="40"/>
            </w:pPr>
            <w:r>
              <w:t xml:space="preserve">01 — Story, Mission, Rules and Puzzles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The design of the game and all four puzzles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Story, mission, rules, puzzles</w:t>
            </w:r>
          </w:p>
        </w:tc>
      </w:tr>
      <w:tr>
        <w:tc>
          <w:tcPr>
            <w:tcW w:w="3120" w:type="dxa"/>
          </w:tcPr>
          <w:p>
            <w:pPr>
              <w:spacing w:before="40" w:after="40"/>
            </w:pPr>
            <w:r>
              <w:t xml:space="preserve">02 — Reading Materials (Evidence Packet)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All eight written documents the players read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Reading materials</w:t>
            </w:r>
          </w:p>
        </w:tc>
      </w:tr>
      <w:tr>
        <w:tc>
          <w:tcPr>
            <w:tcW w:w="3120" w:type="dxa"/>
          </w:tcPr>
          <w:p>
            <w:pPr>
              <w:spacing w:before="40" w:after="40"/>
            </w:pPr>
            <w:r>
              <w:t xml:space="preserve">03 — Listening Script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Full transcript of the voicemail and how it is used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Listening script</w:t>
            </w:r>
          </w:p>
        </w:tc>
      </w:tr>
      <w:tr>
        <w:tc>
          <w:tcPr>
            <w:tcW w:w="3120" w:type="dxa"/>
          </w:tcPr>
          <w:p>
            <w:pPr>
              <w:spacing w:before="40" w:after="40"/>
            </w:pPr>
            <w:r>
              <w:t xml:space="preserve">voicemail.m4a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The listening recording itself, 1 min 39 s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Listening recording</w:t>
            </w:r>
          </w:p>
        </w:tc>
      </w:tr>
      <w:tr>
        <w:tc>
          <w:tcPr>
            <w:tcW w:w="3120" w:type="dxa"/>
          </w:tcPr>
          <w:p>
            <w:pPr>
              <w:spacing w:before="40" w:after="40"/>
            </w:pPr>
            <w:r>
              <w:t xml:space="preserve">04 — HOST GUIDE (ANSWER KEY)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Answers, explanations, hints, run sheet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Host guide — </w:t>
            </w:r>
            <w:r>
              <w:rPr>
                <w:b/>
              </w:rPr>
              <w:t xml:space="preserve">kept separate</w:t>
            </w:r>
          </w:p>
        </w:tc>
      </w:tr>
      <w:tr>
        <w:tc>
          <w:tcPr>
            <w:tcW w:w="3120" w:type="dxa"/>
          </w:tcPr>
          <w:p>
            <w:pPr>
              <w:spacing w:before="40" w:after="40"/>
            </w:pPr>
            <w:r>
              <w:t xml:space="preserve">05 — Presentation Script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Hosting script divided into two speaking roles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Presentation materials</w:t>
            </w:r>
          </w:p>
        </w:tc>
      </w:tr>
      <w:tr>
        <w:tc>
          <w:tcPr>
            <w:tcW w:w="3120" w:type="dxa"/>
          </w:tcPr>
          <w:p>
            <w:pPr>
              <w:spacing w:before="40" w:after="40"/>
            </w:pPr>
            <w:r>
              <w:t xml:space="preserve">06 — Individual Note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The note each student writes separately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Individual note</w:t>
            </w:r>
          </w:p>
        </w:tc>
      </w:tr>
      <w:tr>
        <w:tc>
          <w:tcPr>
            <w:tcW w:w="3120" w:type="dxa"/>
          </w:tcPr>
          <w:p>
            <w:pPr>
              <w:spacing w:before="40" w:after="40"/>
            </w:pPr>
            <w:r>
              <w:t xml:space="preserve">classic.html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The playable game, opens with a double-click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—</w:t>
            </w:r>
          </w:p>
        </w:tc>
      </w:tr>
    </w:tbl>
    <w:p>
      <w:pPr>
        <w:spacing w:after="0"/>
      </w:pPr>
      <w:r>
        <w:t/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 xml:space="preserve">Who did what</w:t>
      </w:r>
    </w:p>
    <w:tbl>
      <w:tblPr>
        <w:tblStyle w:val="TableGrid"/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c>
          <w:tcPr>
            <w:tcW w:w="3120" w:type="dxa"/>
            <w:shd w:val="clear" w:fill="F2EFE7"/>
          </w:tcPr>
          <w:p>
            <w:pPr>
              <w:spacing w:before="40" w:after="40"/>
            </w:pPr>
            <w:r>
              <w:rPr>
                <w:b/>
              </w:rPr>
              <w:t xml:space="preserve"/>
            </w:r>
          </w:p>
        </w:tc>
        <w:tc>
          <w:tcPr>
            <w:tcW w:w="3120" w:type="dxa"/>
            <w:shd w:val="clear" w:fill="F2EFE7"/>
          </w:tcPr>
          <w:p>
            <w:pPr>
              <w:spacing w:before="40" w:after="40"/>
            </w:pPr>
            <w:r>
              <w:rPr>
                <w:b/>
              </w:rPr>
              <w:t xml:space="preserve">Hosting role</w:t>
            </w:r>
          </w:p>
        </w:tc>
        <w:tc>
          <w:tcPr>
            <w:tcW w:w="3120" w:type="dxa"/>
            <w:shd w:val="clear" w:fill="F2EFE7"/>
          </w:tcPr>
          <w:p>
            <w:pPr>
              <w:spacing w:before="40" w:after="40"/>
            </w:pPr>
            <w:r>
              <w:rPr>
                <w:b/>
              </w:rPr>
              <w:t xml:space="preserve">Built</w:t>
            </w:r>
          </w:p>
        </w:tc>
      </w:tr>
      <w:tr>
        <w:tc>
          <w:tcPr>
            <w:tcW w:w="3120" w:type="dxa"/>
          </w:tcPr>
          <w:p>
            <w:pPr>
              <w:spacing w:before="40" w:after="40"/>
            </w:pPr>
            <w:r>
              <w:rPr>
                <w:b/>
              </w:rPr>
              <w:t xml:space="preserve">Diego Esquivel Martínez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Speaker 1 — the briefing, Lock 1, Lock 3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______________________</w:t>
            </w:r>
          </w:p>
        </w:tc>
      </w:tr>
      <w:tr>
        <w:tc>
          <w:tcPr>
            <w:tcW w:w="3120" w:type="dxa"/>
          </w:tcPr>
          <w:p>
            <w:pPr>
              <w:spacing w:before="40" w:after="40"/>
            </w:pPr>
            <w:r>
              <w:rPr>
                <w:b/>
              </w:rPr>
              <w:t xml:space="preserve">Santiago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Speaker 2 — Lock 2 (audio), Lock 4, closing the case</w:t>
            </w:r>
          </w:p>
        </w:tc>
        <w:tc>
          <w:tcPr>
            <w:tcW w:w="3120" w:type="dxa"/>
          </w:tcPr>
          <w:p>
            <w:pPr>
              <w:spacing w:before="40" w:after="40"/>
            </w:pPr>
            <w:r>
              <w:t xml:space="preserve">______________________</w:t>
            </w:r>
          </w:p>
        </w:tc>
      </w:tr>
    </w:tbl>
    <w:p>
      <w:pPr>
        <w:spacing w:after="0"/>
      </w:pPr>
      <w:r>
        <w:t/>
      </w:r>
    </w:p>
    <w:p>
      <w:pPr/>
      <w:r>
        <w:t xml:space="preserve">Each of us also submits a separate individual note (file 06) describing our own contribution and the clues we interpreted while playing another team's room.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 xml:space="preserve">A note on keeping the solutions private</w:t>
      </w:r>
    </w:p>
    <w:p>
      <w:pPr/>
      <w:r>
        <w:t xml:space="preserve">The rubric asks that solutions stay private until the game ends. Three things were done about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File 04 is the only file containing answers</w:t>
      </w:r>
      <w:r>
        <w:t xml:space="preserve">, and its filename says so in capitals. It</w:t>
      </w:r>
    </w:p>
    <w:p>
      <w:pPr/>
      <w:r>
        <w:t xml:space="preserve">is not shown to players at any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Inside the game itself the answers are stored as hashes, not as text</w:t>
      </w:r>
      <w:r>
        <w:t xml:space="preserve">, so a player who</w:t>
      </w:r>
    </w:p>
    <w:p>
      <w:pPr/>
      <w:r>
        <w:t xml:space="preserve">opens the page source cannot read them. The hint text is encoded for the same reason.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public copy of this project leaves the host guide, the hosting script and the</w:t>
      </w:r>
    </w:p>
    <w:p>
      <w:pPr/>
      <w:r>
        <w:t xml:space="preserve">voicemail transcript </w:t>
      </w:r>
      <w:r>
        <w:rPr>
          <w:b/>
        </w:rPr>
        <w:t xml:space="preserve">out of the repository</w:t>
      </w:r>
      <w:r>
        <w:t xml:space="preserve"> until after presentation day.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 xml:space="preserve">Every file has been checked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All four locks tested by typing the answers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</w:t>
      </w:r>
      <w:r>
        <w:rPr>
          <w:rFonts w:ascii="Menlo" w:hAnsi="Menlo"/>
          <w:sz w:val="19"/>
          <w:shd w:val="clear" w:fill="EFEDE7"/>
        </w:rPr>
        <w:t xml:space="preserve">voicemail.m4a</w:t>
      </w:r>
      <w:r>
        <w:t xml:space="preserve"> plays on the presentation computer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</w:t>
      </w:r>
      <w:r>
        <w:rPr>
          <w:rFonts w:ascii="Menlo" w:hAnsi="Menlo"/>
          <w:sz w:val="19"/>
          <w:shd w:val="clear" w:fill="EFEDE7"/>
        </w:rPr>
        <w:t xml:space="preserve">classic.html</w:t>
      </w:r>
      <w:r>
        <w:t xml:space="preserve"> opens with a double-click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Playtested with another team and timed → result recorded in file 04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Both team members' names appear on this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The live link above opens for someone who is not logged in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640" w:hanging="320"/>
      </w:pPr>
    </w:lvl>
  </w:abstractNum>
  <w:abstractNum w:abstractNumId="1">
    <w:lvl w:ilvl="0">
      <w:start w:val="1"/>
      <w:numFmt w:val="decimal"/>
      <w:lvlText w:val="%1."/>
      <w:pPr>
        <w:ind w:left="640" w:hanging="3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2"/>
      </w:rPr>
    </w:rPrDefault>
  </w:docDefaults>
  <w:style w:type="paragraph" w:styleId="Title">
    <w:name w:val="Title"/>
    <w:pPr>
      <w:spacing w:before="0" w:after="120"/>
    </w:pPr>
    <w:rPr>
      <w:b/>
      <w:color w:val="8A6A1F"/>
      <w:sz w:val="40"/>
    </w:rPr>
  </w:style>
  <w:style w:type="paragraph" w:styleId="Heading1">
    <w:name w:val="heading 1"/>
    <w:pPr>
      <w:spacing w:before="320" w:after="120"/>
    </w:pPr>
    <w:rPr>
      <w:b/>
      <w:color w:val="8A6A1F"/>
      <w:sz w:val="30"/>
    </w:rPr>
  </w:style>
  <w:style w:type="paragraph" w:styleId="Heading2">
    <w:name w:val="heading 2"/>
    <w:pPr>
      <w:spacing w:before="260" w:after="120"/>
    </w:pPr>
    <w:rPr>
      <w:b/>
      <w:color w:val="2E2A22"/>
      <w:sz w:val="25"/>
    </w:rPr>
  </w:style>
  <w:style w:type="paragraph" w:styleId="Heading3">
    <w:name w:val="heading 3"/>
    <w:pPr>
      <w:spacing w:before="200" w:after="120"/>
    </w:pPr>
    <w:rPr>
      <w:b/>
      <w:color w:val="5A5346"/>
      <w:sz w:val="22"/>
    </w:rPr>
  </w:style>
  <w:style w:type="paragraph" w:styleId="Quote">
    <w:name w:val="Quote"/>
    <w:pPr>
      <w:spacing w:before="80" w:after="120"/>
    </w:pPr>
    <w:rPr>
      <w:i/>
      <w:color w:val="555555"/>
      <w:sz w:val="21"/>
    </w:rPr>
  </w:style>
  <w:style w:type="paragraph" w:styleId="ListParagraph">
    <w:name w:val="List Paragraph"/>
    <w:pPr>
      <w:spacing w:before="0" w:after="120"/>
    </w:pPr>
    <w:rPr>
      <w:color w:val="000000"/>
      <w:sz w:val="22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