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60"/>
      </w:pPr>
      <w:r>
        <w:rPr>
          <w:rFonts w:ascii="Calibri" w:cs="Calibri" w:eastAsia="Calibri" w:hAnsi="Calibri"/>
          <w:b/>
          <w:bCs/>
          <w:color w:val="0F6DF0"/>
          <w:spacing w:val="60"/>
          <w:sz w:val="26"/>
          <w:szCs w:val="26"/>
        </w:rPr>
        <w:t xml:space="preserve">ÓRBITA CONTADORES</w:t>
      </w:r>
    </w:p>
    <w:p>
      <w:pPr>
        <w:pBdr>
          <w:bottom w:val="single" w:color="10192D" w:sz="14" w:space="10"/>
        </w:pBdr>
        <w:spacing w:after="160"/>
      </w:pPr>
      <w:r>
        <w:rPr>
          <w:rFonts w:ascii="Calibri" w:cs="Calibri" w:eastAsia="Calibri" w:hAnsi="Calibri"/>
          <w:b/>
          <w:bCs/>
          <w:color w:val="10192D"/>
          <w:sz w:val="60"/>
          <w:szCs w:val="60"/>
        </w:rPr>
        <w:t xml:space="preserve">Alcance del servicio</w:t>
      </w:r>
    </w:p>
    <w:p>
      <w:pPr>
        <w:spacing w:after="900"/>
      </w:pPr>
      <w:r>
        <w:rPr>
          <w:rFonts w:ascii="Calibri" w:cs="Calibri" w:eastAsia="Calibri" w:hAnsi="Calibri"/>
          <w:color w:val="5B6675"/>
          <w:sz w:val="24"/>
          <w:szCs w:val="24"/>
        </w:rPr>
        <w:t xml:space="preserve">Detalle funcional de las prestaciones incluidas en la plataforma</w:t>
      </w:r>
    </w:p>
    <w:p>
      <w:pPr>
        <w:spacing w:after="40"/>
      </w:pPr>
      <w:r>
        <w:rPr>
          <w:rFonts w:ascii="Calibri" w:cs="Calibri" w:eastAsia="Calibri" w:hAnsi="Calibri"/>
          <w:b/>
          <w:bCs/>
          <w:color w:val="5B6675"/>
          <w:sz w:val="19"/>
          <w:szCs w:val="19"/>
        </w:rPr>
        <w:t xml:space="preserve">Documento</w:t>
      </w:r>
    </w:p>
    <w:p>
      <w:pPr>
        <w:spacing w:after="200" w:line="276"/>
      </w:pPr>
      <w:r>
        <w:rPr>
          <w:rFonts w:ascii="Calibri" w:cs="Calibri" w:eastAsia="Calibri" w:hAnsi="Calibri"/>
          <w:color w:val="20262E"/>
          <w:sz w:val="21"/>
          <w:szCs w:val="21"/>
        </w:rPr>
        <w:t xml:space="preserve">Descripción de alcance del servicio · Versión vigente</w:t>
      </w:r>
    </w:p>
    <w:p>
      <w:pPr>
        <w:spacing w:after="40"/>
      </w:pPr>
      <w:r>
        <w:rPr>
          <w:rFonts w:ascii="Calibri" w:cs="Calibri" w:eastAsia="Calibri" w:hAnsi="Calibri"/>
          <w:b/>
          <w:bCs/>
          <w:color w:val="5B6675"/>
          <w:sz w:val="19"/>
          <w:szCs w:val="19"/>
        </w:rPr>
        <w:t xml:space="preserve">Fecha</w:t>
      </w:r>
    </w:p>
    <w:p>
      <w:pPr>
        <w:spacing w:after="200" w:line="276"/>
      </w:pPr>
      <w:r>
        <w:rPr>
          <w:rFonts w:ascii="Calibri" w:cs="Calibri" w:eastAsia="Calibri" w:hAnsi="Calibri"/>
          <w:color w:val="20262E"/>
          <w:sz w:val="21"/>
          <w:szCs w:val="21"/>
        </w:rPr>
        <w:t xml:space="preserve">3 de agosto de 2026</w:t>
      </w:r>
    </w:p>
    <w:p>
      <w:pPr>
        <w:spacing w:after="40"/>
      </w:pPr>
      <w:r>
        <w:rPr>
          <w:rFonts w:ascii="Calibri" w:cs="Calibri" w:eastAsia="Calibri" w:hAnsi="Calibri"/>
          <w:b/>
          <w:bCs/>
          <w:color w:val="5B6675"/>
          <w:sz w:val="19"/>
          <w:szCs w:val="19"/>
        </w:rPr>
        <w:t xml:space="preserve">Destinatario</w:t>
      </w:r>
    </w:p>
    <w:p>
      <w:pPr>
        <w:spacing w:after="0" w:line="276"/>
      </w:pPr>
      <w:r>
        <w:rPr>
          <w:rFonts w:ascii="Calibri" w:cs="Calibri" w:eastAsia="Calibri" w:hAnsi="Calibri"/>
          <w:color w:val="20262E"/>
          <w:sz w:val="21"/>
          <w:szCs w:val="21"/>
        </w:rPr>
        <w:t xml:space="preserve">Estudios contables y profesionales en ciencias económicas</w:t>
      </w:r>
    </w:p>
    <w:p>
      <w:r>
        <w:br w:type="page"/>
      </w:r>
    </w:p>
    <w:p>
      <w:pPr>
        <w:pStyle w:val="Heading1"/>
        <w:pBdr>
          <w:bottom w:val="single" w:color="0F6DF0" w:sz="10" w:space="6"/>
        </w:pBdr>
        <w:spacing w:after="180" w:before="340"/>
      </w:pPr>
      <w:r>
        <w:rPr>
          <w:rFonts w:ascii="Calibri" w:cs="Calibri" w:eastAsia="Calibri" w:hAnsi="Calibri"/>
          <w:b/>
          <w:bCs/>
          <w:color w:val="10192D"/>
          <w:sz w:val="30"/>
          <w:szCs w:val="30"/>
        </w:rPr>
        <w:t xml:space="preserve">Índice</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F6DF0" w:sz="10" w:space="6"/>
        </w:pBdr>
        <w:spacing w:after="180" w:before="340"/>
      </w:pPr>
      <w:r>
        <w:rPr>
          <w:rFonts w:ascii="Calibri" w:cs="Calibri" w:eastAsia="Calibri" w:hAnsi="Calibri"/>
          <w:b/>
          <w:bCs/>
          <w:color w:val="10192D"/>
          <w:sz w:val="30"/>
          <w:szCs w:val="30"/>
        </w:rPr>
        <w:t xml:space="preserve">1. Objeto del servicio</w:t>
      </w:r>
    </w:p>
    <w:p>
      <w:pPr>
        <w:spacing w:after="140" w:line="276"/>
      </w:pPr>
      <w:r>
        <w:rPr>
          <w:rFonts w:ascii="Calibri" w:cs="Calibri" w:eastAsia="Calibri" w:hAnsi="Calibri"/>
          <w:color w:val="20262E"/>
          <w:sz w:val="21"/>
          <w:szCs w:val="21"/>
        </w:rPr>
        <w:t xml:space="preserve">Órbita Contadores es una plataforma en línea de monitoreo y gestión impositiva de carteras de contribuyentes monotributistas, destinada a estudios contables y profesionales en ciencias económicas.</w:t>
      </w:r>
    </w:p>
    <w:p>
      <w:pPr>
        <w:spacing w:after="140" w:line="276"/>
      </w:pPr>
      <w:r>
        <w:rPr>
          <w:rFonts w:ascii="Calibri" w:cs="Calibri" w:eastAsia="Calibri" w:hAnsi="Calibri"/>
          <w:color w:val="20262E"/>
          <w:sz w:val="21"/>
          <w:szCs w:val="21"/>
        </w:rPr>
        <w:t xml:space="preserve">El servicio consolida en un único panel la situación fiscal de cada cliente del estudio —régimen, categoría, facturación, cuota, deuda, comprobantes y comunicaciones oficiales—, la mantiene permanentemente actualizada sin intervención del profesional, y genera avisos anticipados sobre los hechos que requieren una acción: acercamiento al tope de categoría, recategorizaciones pendientes, riesgo de exclusión, cuotas impagas y vencimientos.</w:t>
      </w:r>
    </w:p>
    <w:p>
      <w:pPr>
        <w:spacing w:after="140" w:line="276"/>
      </w:pPr>
      <w:r>
        <w:rPr>
          <w:rFonts w:ascii="Calibri" w:cs="Calibri" w:eastAsia="Calibri" w:hAnsi="Calibri"/>
          <w:color w:val="20262E"/>
          <w:sz w:val="21"/>
          <w:szCs w:val="21"/>
        </w:rPr>
        <w:t xml:space="preserve">Sobre esa base de información, la plataforma habilita además la emisión de comprobantes electrónicos, la conciliación de extractos bancarios y de billeteras contra la facturación, el envío automático de recordatorios de vencimiento a los contribuyentes y la elaboración de reportes por cliente.</w:t>
      </w:r>
    </w:p>
    <w:p>
      <w:pPr>
        <w:pStyle w:val="Heading2"/>
        <w:spacing w:after="110" w:before="260"/>
      </w:pPr>
      <w:r>
        <w:rPr>
          <w:rFonts w:ascii="Calibri" w:cs="Calibri" w:eastAsia="Calibri" w:hAnsi="Calibri"/>
          <w:b/>
          <w:bCs/>
          <w:color w:val="0F6DF0"/>
          <w:sz w:val="24"/>
          <w:szCs w:val="24"/>
        </w:rPr>
        <w:t xml:space="preserve">1.1. Alcance subjetivo</w:t>
      </w:r>
    </w:p>
    <w:p>
      <w:pPr>
        <w:spacing w:after="140" w:line="276"/>
      </w:pPr>
      <w:r>
        <w:rPr>
          <w:rFonts w:ascii="Calibri" w:cs="Calibri" w:eastAsia="Calibri" w:hAnsi="Calibri"/>
          <w:color w:val="20262E"/>
          <w:sz w:val="21"/>
          <w:szCs w:val="21"/>
        </w:rPr>
        <w:t xml:space="preserve">El servicio se presta al estudio contable contratante. Cada estudio accede exclusivamente a la información de su propia cartera de clientes: la plataforma aísla los datos de cada estudio, sin visibilidad cruzada entre cuentas.</w:t>
      </w:r>
    </w:p>
    <w:p>
      <w:pPr>
        <w:spacing w:after="140" w:line="276"/>
      </w:pPr>
      <w:r>
        <w:rPr>
          <w:rFonts w:ascii="Calibri" w:cs="Calibri" w:eastAsia="Calibri" w:hAnsi="Calibri"/>
          <w:color w:val="20262E"/>
          <w:sz w:val="21"/>
          <w:szCs w:val="21"/>
        </w:rPr>
        <w:t xml:space="preserve">La cartera no tiene límite de cantidad de contribuyentes por definición funcional. El alta de cada contribuyente requiere que el estudio cuente con los datos de acceso fiscal del contribuyente, provistos por éste.</w:t>
      </w:r>
    </w:p>
    <w:p>
      <w:pPr>
        <w:pStyle w:val="Heading2"/>
        <w:spacing w:after="110" w:before="260"/>
      </w:pPr>
      <w:r>
        <w:rPr>
          <w:rFonts w:ascii="Calibri" w:cs="Calibri" w:eastAsia="Calibri" w:hAnsi="Calibri"/>
          <w:b/>
          <w:bCs/>
          <w:color w:val="0F6DF0"/>
          <w:sz w:val="24"/>
          <w:szCs w:val="24"/>
        </w:rPr>
        <w:t xml:space="preserve">1.2. Modalidad de acceso</w:t>
      </w:r>
    </w:p>
    <w:p>
      <w:pPr>
        <w:pStyle w:val="ListParagraph"/>
        <w:numPr>
          <w:ilvl w:val="0"/>
          <w:numId w:val="2"/>
        </w:numPr>
        <w:spacing w:after="70" w:line="264"/>
      </w:pPr>
      <w:r>
        <w:rPr>
          <w:rFonts w:ascii="Calibri" w:cs="Calibri" w:eastAsia="Calibri" w:hAnsi="Calibri"/>
          <w:b/>
          <w:bCs/>
          <w:color w:val="20262E"/>
          <w:sz w:val="21"/>
          <w:szCs w:val="21"/>
        </w:rPr>
        <w:t xml:space="preserve">Aplicación web: </w:t>
      </w:r>
      <w:r>
        <w:rPr>
          <w:rFonts w:ascii="Calibri" w:cs="Calibri" w:eastAsia="Calibri" w:hAnsi="Calibri"/>
          <w:b w:val="false"/>
          <w:bCs w:val="false"/>
          <w:color w:val="20262E"/>
          <w:sz w:val="21"/>
          <w:szCs w:val="21"/>
        </w:rPr>
        <w:t xml:space="preserve">no requiere instalación. Se accede desde el navegador con usuario y contraseña.</w:t>
      </w:r>
    </w:p>
    <w:p>
      <w:pPr>
        <w:pStyle w:val="ListParagraph"/>
        <w:numPr>
          <w:ilvl w:val="0"/>
          <w:numId w:val="2"/>
        </w:numPr>
        <w:spacing w:after="70" w:line="264"/>
      </w:pPr>
      <w:r>
        <w:rPr>
          <w:rFonts w:ascii="Calibri" w:cs="Calibri" w:eastAsia="Calibri" w:hAnsi="Calibri"/>
          <w:b/>
          <w:bCs/>
          <w:color w:val="20262E"/>
          <w:sz w:val="21"/>
          <w:szCs w:val="21"/>
        </w:rPr>
        <w:t xml:space="preserve">Multidispositivo: </w:t>
      </w:r>
      <w:r>
        <w:rPr>
          <w:rFonts w:ascii="Calibri" w:cs="Calibri" w:eastAsia="Calibri" w:hAnsi="Calibri"/>
          <w:b w:val="false"/>
          <w:bCs w:val="false"/>
          <w:color w:val="20262E"/>
          <w:sz w:val="21"/>
          <w:szCs w:val="21"/>
        </w:rPr>
        <w:t xml:space="preserve">la interfaz está adaptada a computadora de escritorio, notebook, tablet y teléfono.</w:t>
      </w:r>
    </w:p>
    <w:p>
      <w:pPr>
        <w:pStyle w:val="ListParagraph"/>
        <w:numPr>
          <w:ilvl w:val="0"/>
          <w:numId w:val="2"/>
        </w:numPr>
        <w:spacing w:after="70" w:line="264"/>
      </w:pPr>
      <w:r>
        <w:rPr>
          <w:rFonts w:ascii="Calibri" w:cs="Calibri" w:eastAsia="Calibri" w:hAnsi="Calibri"/>
          <w:b/>
          <w:bCs/>
          <w:color w:val="20262E"/>
          <w:sz w:val="21"/>
          <w:szCs w:val="21"/>
        </w:rPr>
        <w:t xml:space="preserve">Disponibilidad: </w:t>
      </w:r>
      <w:r>
        <w:rPr>
          <w:rFonts w:ascii="Calibri" w:cs="Calibri" w:eastAsia="Calibri" w:hAnsi="Calibri"/>
          <w:b w:val="false"/>
          <w:bCs w:val="false"/>
          <w:color w:val="20262E"/>
          <w:sz w:val="21"/>
          <w:szCs w:val="21"/>
        </w:rPr>
        <w:t xml:space="preserve">servicio en línea de acceso permanente; la información se actualiza en forma continua, los siete días de la semana.</w:t>
      </w:r>
    </w:p>
    <w:p>
      <w:pPr>
        <w:pStyle w:val="Heading1"/>
        <w:pBdr>
          <w:bottom w:val="single" w:color="0F6DF0" w:sz="10" w:space="6"/>
        </w:pBdr>
        <w:spacing w:after="180" w:before="340"/>
      </w:pPr>
      <w:r>
        <w:rPr>
          <w:rFonts w:ascii="Calibri" w:cs="Calibri" w:eastAsia="Calibri" w:hAnsi="Calibri"/>
          <w:b/>
          <w:bCs/>
          <w:color w:val="10192D"/>
          <w:sz w:val="30"/>
          <w:szCs w:val="30"/>
        </w:rPr>
        <w:t xml:space="preserve">2. Panel de cartera</w:t>
      </w:r>
    </w:p>
    <w:p>
      <w:pPr>
        <w:spacing w:after="140" w:line="276"/>
      </w:pPr>
      <w:r>
        <w:rPr>
          <w:rFonts w:ascii="Calibri" w:cs="Calibri" w:eastAsia="Calibri" w:hAnsi="Calibri"/>
          <w:color w:val="20262E"/>
          <w:sz w:val="21"/>
          <w:szCs w:val="21"/>
        </w:rPr>
        <w:t xml:space="preserve">Pantalla principal del servicio. Presenta la totalidad de los contribuyentes del estudio con su situación consolidada y permite detectar en un vistazo los casos que requieren atención.</w:t>
      </w:r>
    </w:p>
    <w:p>
      <w:pPr>
        <w:pStyle w:val="Heading2"/>
        <w:spacing w:after="110" w:before="260"/>
      </w:pPr>
      <w:r>
        <w:rPr>
          <w:rFonts w:ascii="Calibri" w:cs="Calibri" w:eastAsia="Calibri" w:hAnsi="Calibri"/>
          <w:b/>
          <w:bCs/>
          <w:color w:val="0F6DF0"/>
          <w:sz w:val="24"/>
          <w:szCs w:val="24"/>
        </w:rPr>
        <w:t xml:space="preserve">2.1. Indicadores de cartera</w:t>
      </w:r>
    </w:p>
    <w:p>
      <w:pPr>
        <w:spacing w:after="140" w:line="276"/>
      </w:pPr>
      <w:r>
        <w:rPr>
          <w:rFonts w:ascii="Calibri" w:cs="Calibri" w:eastAsia="Calibri" w:hAnsi="Calibri"/>
          <w:color w:val="20262E"/>
          <w:sz w:val="21"/>
          <w:szCs w:val="21"/>
        </w:rPr>
        <w:t xml:space="preserve">Sobre la lista se muestran cinco indicadores agregados, cada uno de los cuales opera además como filtro:</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0"/>
      </w:tblGrid>
      <w:tr>
        <w:trPr>
          <w:tblHeader/>
        </w:trPr>
        <w:tc>
          <w:tcPr>
            <w:tcW w:type="dxa" w:w="2100"/>
            <w:tcBorders>
              <w:top w:val="single" w:color="D8DEE7" w:sz="4"/>
              <w:left w:val="single" w:color="D8DEE7" w:sz="4"/>
              <w:bottom w:val="single" w:color="D8DEE7" w:sz="4"/>
              <w:right w:val="single" w:color="D8DEE7" w:sz="4"/>
            </w:tcBorders>
            <w:shd w:fill="0F6DF0" w:color="auto" w:val="clear"/>
            <w:tcMar>
              <w:top w:type="dxa" w:w="90"/>
              <w:left w:type="dxa" w:w="130"/>
              <w:bottom w:type="dxa" w:w="90"/>
              <w:right w:type="dxa" w:w="130"/>
            </w:tcMar>
          </w:tcPr>
          <w:p>
            <w:pPr>
              <w:spacing w:after="0" w:line="250"/>
            </w:pPr>
            <w:r>
              <w:rPr>
                <w:rFonts w:ascii="Calibri" w:cs="Calibri" w:eastAsia="Calibri" w:hAnsi="Calibri"/>
                <w:b/>
                <w:bCs/>
                <w:color w:val="FFFFFF"/>
                <w:sz w:val="19"/>
                <w:szCs w:val="19"/>
              </w:rPr>
              <w:t xml:space="preserve">Indicador</w:t>
            </w:r>
          </w:p>
        </w:tc>
        <w:tc>
          <w:tcPr>
            <w:tcW w:type="dxa" w:w="6900"/>
            <w:tcBorders>
              <w:top w:val="single" w:color="D8DEE7" w:sz="4"/>
              <w:left w:val="single" w:color="D8DEE7" w:sz="4"/>
              <w:bottom w:val="single" w:color="D8DEE7" w:sz="4"/>
              <w:right w:val="single" w:color="D8DEE7" w:sz="4"/>
            </w:tcBorders>
            <w:shd w:fill="0F6DF0" w:color="auto" w:val="clear"/>
            <w:tcMar>
              <w:top w:type="dxa" w:w="90"/>
              <w:left w:type="dxa" w:w="130"/>
              <w:bottom w:type="dxa" w:w="90"/>
              <w:right w:type="dxa" w:w="130"/>
            </w:tcMar>
          </w:tcPr>
          <w:p>
            <w:pPr>
              <w:spacing w:after="0" w:line="250"/>
            </w:pPr>
            <w:r>
              <w:rPr>
                <w:rFonts w:ascii="Calibri" w:cs="Calibri" w:eastAsia="Calibri" w:hAnsi="Calibri"/>
                <w:b/>
                <w:bCs/>
                <w:color w:val="FFFFFF"/>
                <w:sz w:val="19"/>
                <w:szCs w:val="19"/>
              </w:rPr>
              <w:t xml:space="preserve">Qué informa</w:t>
            </w:r>
          </w:p>
        </w:tc>
      </w:tr>
      <w:tr>
        <w:tc>
          <w:tcPr>
            <w:tcW w:type="dxa" w:w="21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Acción urgente</w:t>
            </w:r>
          </w:p>
        </w:tc>
        <w:tc>
          <w:tcPr>
            <w:tcW w:type="dxa" w:w="69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Contribuyentes con al menos una situación que exige intervención inmediata (tope superado, cierre de ventana de recategorización, riesgo de exclusión por gastos o deuda crónica).</w:t>
            </w:r>
          </w:p>
        </w:tc>
      </w:tr>
      <w:tr>
        <w:tc>
          <w:tcPr>
            <w:tcW w:type="dxa" w:w="21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Monitoreo activo</w:t>
            </w:r>
          </w:p>
        </w:tc>
        <w:tc>
          <w:tcPr>
            <w:tcW w:type="dxa" w:w="69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Contribuyentes con su información al día y sin situaciones urgentes.</w:t>
            </w:r>
          </w:p>
        </w:tc>
      </w:tr>
      <w:tr>
        <w:tc>
          <w:tcPr>
            <w:tcW w:type="dxa" w:w="21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Sin datos</w:t>
            </w:r>
          </w:p>
        </w:tc>
        <w:tc>
          <w:tcPr>
            <w:tcW w:type="dxa" w:w="69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Contribuyentes cuya información aún no pudo consolidarse o está pendiente de regularización.</w:t>
            </w:r>
          </w:p>
        </w:tc>
      </w:tr>
      <w:tr>
        <w:tc>
          <w:tcPr>
            <w:tcW w:type="dxa" w:w="21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Deuda +N meses</w:t>
            </w:r>
          </w:p>
        </w:tc>
        <w:tc>
          <w:tcPr>
            <w:tcW w:type="dxa" w:w="69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Contribuyentes que acumulan deuda de cuota por más meses consecutivos que el límite configurado por el estudio.</w:t>
            </w:r>
          </w:p>
        </w:tc>
      </w:tr>
      <w:tr>
        <w:tc>
          <w:tcPr>
            <w:tcW w:type="dxa" w:w="21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Total clientes</w:t>
            </w:r>
          </w:p>
        </w:tc>
        <w:tc>
          <w:tcPr>
            <w:tcW w:type="dxa" w:w="69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Cantidad total de contribuyentes en la cartera.</w:t>
            </w:r>
          </w:p>
        </w:tc>
      </w:tr>
    </w:tbl>
    <w:p>
      <w:pPr>
        <w:pStyle w:val="Heading2"/>
        <w:spacing w:after="110" w:before="260"/>
      </w:pPr>
      <w:r>
        <w:rPr>
          <w:rFonts w:ascii="Calibri" w:cs="Calibri" w:eastAsia="Calibri" w:hAnsi="Calibri"/>
          <w:b/>
          <w:bCs/>
          <w:color w:val="0F6DF0"/>
          <w:sz w:val="24"/>
          <w:szCs w:val="24"/>
        </w:rPr>
        <w:t xml:space="preserve">2.2. Listado de contribuyentes</w:t>
      </w:r>
    </w:p>
    <w:p>
      <w:pPr>
        <w:spacing w:after="140" w:line="276"/>
      </w:pPr>
      <w:r>
        <w:rPr>
          <w:rFonts w:ascii="Calibri" w:cs="Calibri" w:eastAsia="Calibri" w:hAnsi="Calibri"/>
          <w:color w:val="20262E"/>
          <w:sz w:val="21"/>
          <w:szCs w:val="21"/>
        </w:rPr>
        <w:t xml:space="preserve">El listado es ordenable por cualquiera de sus columnas e incluye:</w:t>
      </w:r>
    </w:p>
    <w:p>
      <w:pPr>
        <w:pStyle w:val="ListParagraph"/>
        <w:numPr>
          <w:ilvl w:val="0"/>
          <w:numId w:val="2"/>
        </w:numPr>
        <w:spacing w:after="70" w:line="264"/>
      </w:pPr>
      <w:r>
        <w:rPr>
          <w:rFonts w:ascii="Calibri" w:cs="Calibri" w:eastAsia="Calibri" w:hAnsi="Calibri"/>
          <w:b/>
          <w:bCs/>
          <w:color w:val="20262E"/>
          <w:sz w:val="21"/>
          <w:szCs w:val="21"/>
        </w:rPr>
        <w:t xml:space="preserve">Cliente: </w:t>
      </w:r>
      <w:r>
        <w:rPr>
          <w:rFonts w:ascii="Calibri" w:cs="Calibri" w:eastAsia="Calibri" w:hAnsi="Calibri"/>
          <w:b w:val="false"/>
          <w:bCs w:val="false"/>
          <w:color w:val="20262E"/>
          <w:sz w:val="21"/>
          <w:szCs w:val="21"/>
        </w:rPr>
        <w:t xml:space="preserve">razón social o apellido y nombre, con identificación tributaria.</w:t>
      </w:r>
    </w:p>
    <w:p>
      <w:pPr>
        <w:pStyle w:val="ListParagraph"/>
        <w:numPr>
          <w:ilvl w:val="0"/>
          <w:numId w:val="2"/>
        </w:numPr>
        <w:spacing w:after="70" w:line="264"/>
      </w:pPr>
      <w:r>
        <w:rPr>
          <w:rFonts w:ascii="Calibri" w:cs="Calibri" w:eastAsia="Calibri" w:hAnsi="Calibri"/>
          <w:b/>
          <w:bCs/>
          <w:color w:val="20262E"/>
          <w:sz w:val="21"/>
          <w:szCs w:val="21"/>
        </w:rPr>
        <w:t xml:space="preserve">Categoría: </w:t>
      </w:r>
      <w:r>
        <w:rPr>
          <w:rFonts w:ascii="Calibri" w:cs="Calibri" w:eastAsia="Calibri" w:hAnsi="Calibri"/>
          <w:b w:val="false"/>
          <w:bCs w:val="false"/>
          <w:color w:val="20262E"/>
          <w:sz w:val="21"/>
          <w:szCs w:val="21"/>
        </w:rPr>
        <w:t xml:space="preserve">categoría vigente en el régimen simplificado.</w:t>
      </w:r>
    </w:p>
    <w:p>
      <w:pPr>
        <w:pStyle w:val="ListParagraph"/>
        <w:numPr>
          <w:ilvl w:val="0"/>
          <w:numId w:val="2"/>
        </w:numPr>
        <w:spacing w:after="70" w:line="264"/>
      </w:pPr>
      <w:r>
        <w:rPr>
          <w:rFonts w:ascii="Calibri" w:cs="Calibri" w:eastAsia="Calibri" w:hAnsi="Calibri"/>
          <w:b/>
          <w:bCs/>
          <w:color w:val="20262E"/>
          <w:sz w:val="21"/>
          <w:szCs w:val="21"/>
        </w:rPr>
        <w:t xml:space="preserve">% de tope consumido: </w:t>
      </w:r>
      <w:r>
        <w:rPr>
          <w:rFonts w:ascii="Calibri" w:cs="Calibri" w:eastAsia="Calibri" w:hAnsi="Calibri"/>
          <w:b w:val="false"/>
          <w:bCs w:val="false"/>
          <w:color w:val="20262E"/>
          <w:sz w:val="21"/>
          <w:szCs w:val="21"/>
        </w:rPr>
        <w:t xml:space="preserve">proporción de la facturación de los últimos doce meses sobre el tope de su categoría, con barra de avance.</w:t>
      </w:r>
    </w:p>
    <w:p>
      <w:pPr>
        <w:pStyle w:val="ListParagraph"/>
        <w:numPr>
          <w:ilvl w:val="0"/>
          <w:numId w:val="2"/>
        </w:numPr>
        <w:spacing w:after="70" w:line="264"/>
      </w:pPr>
      <w:r>
        <w:rPr>
          <w:rFonts w:ascii="Calibri" w:cs="Calibri" w:eastAsia="Calibri" w:hAnsi="Calibri"/>
          <w:b/>
          <w:bCs/>
          <w:color w:val="20262E"/>
          <w:sz w:val="21"/>
          <w:szCs w:val="21"/>
        </w:rPr>
        <w:t xml:space="preserve">Ratio de gastos: </w:t>
      </w:r>
      <w:r>
        <w:rPr>
          <w:rFonts w:ascii="Calibri" w:cs="Calibri" w:eastAsia="Calibri" w:hAnsi="Calibri"/>
          <w:b w:val="false"/>
          <w:bCs w:val="false"/>
          <w:color w:val="20262E"/>
          <w:sz w:val="21"/>
          <w:szCs w:val="21"/>
        </w:rPr>
        <w:t xml:space="preserve">relación entre las compras del contribuyente y el parámetro legal de referencia, a los fines del control de exclusión.</w:t>
      </w:r>
    </w:p>
    <w:p>
      <w:pPr>
        <w:pStyle w:val="ListParagraph"/>
        <w:numPr>
          <w:ilvl w:val="0"/>
          <w:numId w:val="2"/>
        </w:numPr>
        <w:spacing w:after="70" w:line="264"/>
      </w:pPr>
      <w:r>
        <w:rPr>
          <w:rFonts w:ascii="Calibri" w:cs="Calibri" w:eastAsia="Calibri" w:hAnsi="Calibri"/>
          <w:b/>
          <w:bCs/>
          <w:color w:val="20262E"/>
          <w:sz w:val="21"/>
          <w:szCs w:val="21"/>
        </w:rPr>
        <w:t xml:space="preserve">Próxima ventana: </w:t>
      </w:r>
      <w:r>
        <w:rPr>
          <w:rFonts w:ascii="Calibri" w:cs="Calibri" w:eastAsia="Calibri" w:hAnsi="Calibri"/>
          <w:b w:val="false"/>
          <w:bCs w:val="false"/>
          <w:color w:val="20262E"/>
          <w:sz w:val="21"/>
          <w:szCs w:val="21"/>
        </w:rPr>
        <w:t xml:space="preserve">fecha de la próxima instancia de recategorización aplicable.</w:t>
      </w:r>
    </w:p>
    <w:p>
      <w:pPr>
        <w:pStyle w:val="ListParagraph"/>
        <w:numPr>
          <w:ilvl w:val="0"/>
          <w:numId w:val="2"/>
        </w:numPr>
        <w:spacing w:after="70" w:line="264"/>
      </w:pPr>
      <w:r>
        <w:rPr>
          <w:rFonts w:ascii="Calibri" w:cs="Calibri" w:eastAsia="Calibri" w:hAnsi="Calibri"/>
          <w:b/>
          <w:bCs/>
          <w:color w:val="20262E"/>
          <w:sz w:val="21"/>
          <w:szCs w:val="21"/>
        </w:rPr>
        <w:t xml:space="preserve">Meses adeudados: </w:t>
      </w:r>
      <w:r>
        <w:rPr>
          <w:rFonts w:ascii="Calibri" w:cs="Calibri" w:eastAsia="Calibri" w:hAnsi="Calibri"/>
          <w:b w:val="false"/>
          <w:bCs w:val="false"/>
          <w:color w:val="20262E"/>
          <w:sz w:val="21"/>
          <w:szCs w:val="21"/>
        </w:rPr>
        <w:t xml:space="preserve">cantidad de meses consecutivos con cuota impaga; se resaltan los que superan el límite configurado.</w:t>
      </w:r>
    </w:p>
    <w:p>
      <w:pPr>
        <w:pStyle w:val="ListParagraph"/>
        <w:numPr>
          <w:ilvl w:val="0"/>
          <w:numId w:val="2"/>
        </w:numPr>
        <w:spacing w:after="70" w:line="264"/>
      </w:pPr>
      <w:r>
        <w:rPr>
          <w:rFonts w:ascii="Calibri" w:cs="Calibri" w:eastAsia="Calibri" w:hAnsi="Calibri"/>
          <w:b/>
          <w:bCs/>
          <w:color w:val="20262E"/>
          <w:sz w:val="21"/>
          <w:szCs w:val="21"/>
        </w:rPr>
        <w:t xml:space="preserve">Estado: </w:t>
      </w:r>
      <w:r>
        <w:rPr>
          <w:rFonts w:ascii="Calibri" w:cs="Calibri" w:eastAsia="Calibri" w:hAnsi="Calibri"/>
          <w:b w:val="false"/>
          <w:bCs w:val="false"/>
          <w:color w:val="20262E"/>
          <w:sz w:val="21"/>
          <w:szCs w:val="21"/>
        </w:rPr>
        <w:t xml:space="preserve">semáforo de riesgo del contribuyente.</w:t>
      </w:r>
    </w:p>
    <w:p>
      <w:pPr>
        <w:pStyle w:val="ListParagraph"/>
        <w:numPr>
          <w:ilvl w:val="0"/>
          <w:numId w:val="2"/>
        </w:numPr>
        <w:spacing w:after="70" w:line="264"/>
      </w:pPr>
      <w:r>
        <w:rPr>
          <w:rFonts w:ascii="Calibri" w:cs="Calibri" w:eastAsia="Calibri" w:hAnsi="Calibri"/>
          <w:b/>
          <w:bCs/>
          <w:color w:val="20262E"/>
          <w:sz w:val="21"/>
          <w:szCs w:val="21"/>
        </w:rPr>
        <w:t xml:space="preserve">Última actualización: </w:t>
      </w:r>
      <w:r>
        <w:rPr>
          <w:rFonts w:ascii="Calibri" w:cs="Calibri" w:eastAsia="Calibri" w:hAnsi="Calibri"/>
          <w:b w:val="false"/>
          <w:bCs w:val="false"/>
          <w:color w:val="20262E"/>
          <w:sz w:val="21"/>
          <w:szCs w:val="21"/>
        </w:rPr>
        <w:t xml:space="preserve">fecha en que la información del contribuyente se actualizó por última vez.</w:t>
      </w:r>
    </w:p>
    <w:p>
      <w:pPr>
        <w:pStyle w:val="ListParagraph"/>
        <w:numPr>
          <w:ilvl w:val="0"/>
          <w:numId w:val="2"/>
        </w:numPr>
        <w:spacing w:after="70" w:line="264"/>
      </w:pPr>
      <w:r>
        <w:rPr>
          <w:rFonts w:ascii="Calibri" w:cs="Calibri" w:eastAsia="Calibri" w:hAnsi="Calibri"/>
          <w:b/>
          <w:bCs/>
          <w:color w:val="20262E"/>
          <w:sz w:val="21"/>
          <w:szCs w:val="21"/>
        </w:rPr>
        <w:t xml:space="preserve">Responsable: </w:t>
      </w:r>
      <w:r>
        <w:rPr>
          <w:rFonts w:ascii="Calibri" w:cs="Calibri" w:eastAsia="Calibri" w:hAnsi="Calibri"/>
          <w:b w:val="false"/>
          <w:bCs w:val="false"/>
          <w:color w:val="20262E"/>
          <w:sz w:val="21"/>
          <w:szCs w:val="21"/>
        </w:rPr>
        <w:t xml:space="preserve">usuario del estudio a cargo del contribuyente, cuando el estudio trabaja con equipo.</w:t>
      </w:r>
    </w:p>
    <w:p>
      <w:pPr>
        <w:pStyle w:val="Heading3"/>
        <w:spacing w:after="80" w:before="180"/>
      </w:pPr>
      <w:r>
        <w:rPr>
          <w:rFonts w:ascii="Calibri" w:cs="Calibri" w:eastAsia="Calibri" w:hAnsi="Calibri"/>
          <w:b/>
          <w:bCs/>
          <w:color w:val="10192D"/>
          <w:sz w:val="21"/>
          <w:szCs w:val="21"/>
        </w:rPr>
        <w:t xml:space="preserve">Semáforo de riesgo</w:t>
      </w:r>
    </w:p>
    <w:p>
      <w:pPr>
        <w:spacing w:after="140" w:line="276"/>
      </w:pPr>
      <w:r>
        <w:rPr>
          <w:rFonts w:ascii="Calibri" w:cs="Calibri" w:eastAsia="Calibri" w:hAnsi="Calibri"/>
          <w:color w:val="20262E"/>
          <w:sz w:val="21"/>
          <w:szCs w:val="21"/>
        </w:rPr>
        <w:t xml:space="preserve">El estado de cada contribuyente se deriva automáticamente de sus alertas vigentes: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tcBorders>
              <w:top w:val="single" w:color="D8DEE7" w:sz="4"/>
              <w:left w:val="single" w:color="D8DEE7" w:sz="4"/>
              <w:bottom w:val="single" w:color="D8DEE7" w:sz="4"/>
              <w:right w:val="single" w:color="D8DEE7" w:sz="4"/>
            </w:tcBorders>
            <w:shd w:fill="0F6DF0" w:color="auto" w:val="clear"/>
            <w:tcMar>
              <w:top w:type="dxa" w:w="90"/>
              <w:left w:type="dxa" w:w="130"/>
              <w:bottom w:type="dxa" w:w="90"/>
              <w:right w:type="dxa" w:w="130"/>
            </w:tcMar>
          </w:tcPr>
          <w:p>
            <w:pPr>
              <w:spacing w:after="0" w:line="250"/>
            </w:pPr>
            <w:r>
              <w:rPr>
                <w:rFonts w:ascii="Calibri" w:cs="Calibri" w:eastAsia="Calibri" w:hAnsi="Calibri"/>
                <w:b/>
                <w:bCs/>
                <w:color w:val="FFFFFF"/>
                <w:sz w:val="19"/>
                <w:szCs w:val="19"/>
              </w:rPr>
              <w:t xml:space="preserve">Estado</w:t>
            </w:r>
          </w:p>
        </w:tc>
        <w:tc>
          <w:tcPr>
            <w:tcW w:type="dxa" w:w="7400"/>
            <w:tcBorders>
              <w:top w:val="single" w:color="D8DEE7" w:sz="4"/>
              <w:left w:val="single" w:color="D8DEE7" w:sz="4"/>
              <w:bottom w:val="single" w:color="D8DEE7" w:sz="4"/>
              <w:right w:val="single" w:color="D8DEE7" w:sz="4"/>
            </w:tcBorders>
            <w:shd w:fill="0F6DF0" w:color="auto" w:val="clear"/>
            <w:tcMar>
              <w:top w:type="dxa" w:w="90"/>
              <w:left w:type="dxa" w:w="130"/>
              <w:bottom w:type="dxa" w:w="90"/>
              <w:right w:type="dxa" w:w="130"/>
            </w:tcMar>
          </w:tcPr>
          <w:p>
            <w:pPr>
              <w:spacing w:after="0" w:line="250"/>
            </w:pPr>
            <w:r>
              <w:rPr>
                <w:rFonts w:ascii="Calibri" w:cs="Calibri" w:eastAsia="Calibri" w:hAnsi="Calibri"/>
                <w:b/>
                <w:bCs/>
                <w:color w:val="FFFFFF"/>
                <w:sz w:val="19"/>
                <w:szCs w:val="19"/>
              </w:rPr>
              <w:t xml:space="preserve">Significado</w:t>
            </w:r>
          </w:p>
        </w:tc>
      </w:tr>
      <w:tr>
        <w:tc>
          <w:tcPr>
            <w:tcW w:type="dxa" w:w="16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Rojo</w:t>
            </w:r>
          </w:p>
        </w:tc>
        <w:tc>
          <w:tcPr>
            <w:tcW w:type="dxa" w:w="74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Existe al menos una situación urgente que requiere acción del profesional.</w:t>
            </w:r>
          </w:p>
        </w:tc>
      </w:tr>
      <w:tr>
        <w:tc>
          <w:tcPr>
            <w:tcW w:type="dxa" w:w="16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Gris</w:t>
            </w:r>
          </w:p>
        </w:tc>
        <w:tc>
          <w:tcPr>
            <w:tcW w:type="dxa" w:w="74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La información del contribuyente está pendiente de consolidación o de regularización.</w:t>
            </w:r>
          </w:p>
        </w:tc>
      </w:tr>
      <w:tr>
        <w:tc>
          <w:tcPr>
            <w:tcW w:type="dxa" w:w="16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Amarillo</w:t>
            </w:r>
          </w:p>
        </w:tc>
        <w:tc>
          <w:tcPr>
            <w:tcW w:type="dxa" w:w="74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Existen situaciones a vigilar, sin urgencia inmediata.</w:t>
            </w:r>
          </w:p>
        </w:tc>
      </w:tr>
      <w:tr>
        <w:tc>
          <w:tcPr>
            <w:tcW w:type="dxa" w:w="16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Verde</w:t>
            </w:r>
          </w:p>
        </w:tc>
        <w:tc>
          <w:tcPr>
            <w:tcW w:type="dxa" w:w="74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Situación regular, sin observaciones.</w:t>
            </w:r>
          </w:p>
        </w:tc>
      </w:tr>
    </w:tbl>
    <w:p>
      <w:pPr>
        <w:pStyle w:val="Heading2"/>
        <w:spacing w:after="110" w:before="260"/>
      </w:pPr>
      <w:r>
        <w:rPr>
          <w:rFonts w:ascii="Calibri" w:cs="Calibri" w:eastAsia="Calibri" w:hAnsi="Calibri"/>
          <w:b/>
          <w:bCs/>
          <w:color w:val="0F6DF0"/>
          <w:sz w:val="24"/>
          <w:szCs w:val="24"/>
        </w:rPr>
        <w:t xml:space="preserve">2.3. Búsqueda, filtros y avisos</w:t>
      </w:r>
    </w:p>
    <w:p>
      <w:pPr>
        <w:pStyle w:val="ListParagraph"/>
        <w:numPr>
          <w:ilvl w:val="0"/>
          <w:numId w:val="2"/>
        </w:numPr>
        <w:spacing w:after="70" w:line="264"/>
      </w:pPr>
      <w:r>
        <w:rPr>
          <w:rFonts w:ascii="Calibri" w:cs="Calibri" w:eastAsia="Calibri" w:hAnsi="Calibri"/>
          <w:b/>
          <w:bCs/>
          <w:color w:val="20262E"/>
          <w:sz w:val="21"/>
          <w:szCs w:val="21"/>
        </w:rPr>
        <w:t xml:space="preserve">Búsqueda: </w:t>
      </w:r>
      <w:r>
        <w:rPr>
          <w:rFonts w:ascii="Calibri" w:cs="Calibri" w:eastAsia="Calibri" w:hAnsi="Calibri"/>
          <w:b w:val="false"/>
          <w:bCs w:val="false"/>
          <w:color w:val="20262E"/>
          <w:sz w:val="21"/>
          <w:szCs w:val="21"/>
        </w:rPr>
        <w:t xml:space="preserve">localización de contribuyentes por nombre dentro de la cartera.</w:t>
      </w:r>
    </w:p>
    <w:p>
      <w:pPr>
        <w:pStyle w:val="ListParagraph"/>
        <w:numPr>
          <w:ilvl w:val="0"/>
          <w:numId w:val="2"/>
        </w:numPr>
        <w:spacing w:after="70" w:line="264"/>
      </w:pPr>
      <w:r>
        <w:rPr>
          <w:rFonts w:ascii="Calibri" w:cs="Calibri" w:eastAsia="Calibri" w:hAnsi="Calibri"/>
          <w:b/>
          <w:bCs/>
          <w:color w:val="20262E"/>
          <w:sz w:val="21"/>
          <w:szCs w:val="21"/>
        </w:rPr>
        <w:t xml:space="preserve">Filtro de estado de monitoreo: </w:t>
      </w:r>
      <w:r>
        <w:rPr>
          <w:rFonts w:ascii="Calibri" w:cs="Calibri" w:eastAsia="Calibri" w:hAnsi="Calibri"/>
          <w:b w:val="false"/>
          <w:bCs w:val="false"/>
          <w:color w:val="20262E"/>
          <w:sz w:val="21"/>
          <w:szCs w:val="21"/>
        </w:rPr>
        <w:t xml:space="preserve">ver todos los contribuyentes, sólo los activos o sólo los pausados.</w:t>
      </w:r>
    </w:p>
    <w:p>
      <w:pPr>
        <w:pStyle w:val="ListParagraph"/>
        <w:numPr>
          <w:ilvl w:val="0"/>
          <w:numId w:val="2"/>
        </w:numPr>
        <w:spacing w:after="70" w:line="264"/>
      </w:pPr>
      <w:r>
        <w:rPr>
          <w:rFonts w:ascii="Calibri" w:cs="Calibri" w:eastAsia="Calibri" w:hAnsi="Calibri"/>
          <w:b/>
          <w:bCs/>
          <w:color w:val="20262E"/>
          <w:sz w:val="21"/>
          <w:szCs w:val="21"/>
        </w:rPr>
        <w:t xml:space="preserve">Aviso de claves a actualizar: </w:t>
      </w:r>
      <w:r>
        <w:rPr>
          <w:rFonts w:ascii="Calibri" w:cs="Calibri" w:eastAsia="Calibri" w:hAnsi="Calibri"/>
          <w:b w:val="false"/>
          <w:bCs w:val="false"/>
          <w:color w:val="20262E"/>
          <w:sz w:val="21"/>
          <w:szCs w:val="21"/>
        </w:rPr>
        <w:t xml:space="preserve">panel destacado sobre la cartera con la cantidad de contribuyentes cuya clave fiscal debe actualizarse; al accionarlo, la lista se filtra a esos casos.</w:t>
      </w:r>
    </w:p>
    <w:p>
      <w:pPr>
        <w:pStyle w:val="ListParagraph"/>
        <w:numPr>
          <w:ilvl w:val="0"/>
          <w:numId w:val="2"/>
        </w:numPr>
        <w:spacing w:after="70" w:line="264"/>
      </w:pPr>
      <w:r>
        <w:rPr>
          <w:rFonts w:ascii="Calibri" w:cs="Calibri" w:eastAsia="Calibri" w:hAnsi="Calibri"/>
          <w:b/>
          <w:bCs/>
          <w:color w:val="20262E"/>
          <w:sz w:val="21"/>
          <w:szCs w:val="21"/>
        </w:rPr>
        <w:t xml:space="preserve">Avisos por contribuyente: </w:t>
      </w:r>
      <w:r>
        <w:rPr>
          <w:rFonts w:ascii="Calibri" w:cs="Calibri" w:eastAsia="Calibri" w:hAnsi="Calibri"/>
          <w:b w:val="false"/>
          <w:bCs w:val="false"/>
          <w:color w:val="20262E"/>
          <w:sz w:val="21"/>
          <w:szCs w:val="21"/>
        </w:rPr>
        <w:t xml:space="preserve">la fila indica cuando corresponde actualizar la clave fiscal, cuando el organismo exige su renovación periódica, cuando el contribuyente tiene activada la verificación en dos pasos, y cuando registra irregularidades en su inscripción que impiden mantener la información al día.</w:t>
      </w:r>
    </w:p>
    <w:p>
      <w:pPr>
        <w:pStyle w:val="ListParagraph"/>
        <w:numPr>
          <w:ilvl w:val="0"/>
          <w:numId w:val="2"/>
        </w:numPr>
        <w:spacing w:after="70" w:line="264"/>
      </w:pPr>
      <w:r>
        <w:rPr>
          <w:rFonts w:ascii="Calibri" w:cs="Calibri" w:eastAsia="Calibri" w:hAnsi="Calibri"/>
          <w:b/>
          <w:bCs/>
          <w:color w:val="20262E"/>
          <w:sz w:val="21"/>
          <w:szCs w:val="21"/>
        </w:rPr>
        <w:t xml:space="preserve">Identificación sectorial: </w:t>
      </w:r>
      <w:r>
        <w:rPr>
          <w:rFonts w:ascii="Calibri" w:cs="Calibri" w:eastAsia="Calibri" w:hAnsi="Calibri"/>
          <w:b w:val="false"/>
          <w:bCs w:val="false"/>
          <w:color w:val="20262E"/>
          <w:sz w:val="21"/>
          <w:szCs w:val="21"/>
        </w:rPr>
        <w:t xml:space="preserve">los contribuyentes del sector agropecuario se distinguen con un ícono propio.</w:t>
      </w:r>
    </w:p>
    <w:p>
      <w:r>
        <w:br w:type="page"/>
      </w:r>
    </w:p>
    <w:p>
      <w:pPr>
        <w:pStyle w:val="Heading1"/>
        <w:pBdr>
          <w:bottom w:val="single" w:color="0F6DF0" w:sz="10" w:space="6"/>
        </w:pBdr>
        <w:spacing w:after="180" w:before="340"/>
      </w:pPr>
      <w:r>
        <w:rPr>
          <w:rFonts w:ascii="Calibri" w:cs="Calibri" w:eastAsia="Calibri" w:hAnsi="Calibri"/>
          <w:b/>
          <w:bCs/>
          <w:color w:val="10192D"/>
          <w:sz w:val="30"/>
          <w:szCs w:val="30"/>
        </w:rPr>
        <w:t xml:space="preserve">3. Ficha del contribuyente</w:t>
      </w:r>
    </w:p>
    <w:p>
      <w:pPr>
        <w:spacing w:after="140" w:line="276"/>
      </w:pPr>
      <w:r>
        <w:rPr>
          <w:rFonts w:ascii="Calibri" w:cs="Calibri" w:eastAsia="Calibri" w:hAnsi="Calibri"/>
          <w:color w:val="20262E"/>
          <w:sz w:val="21"/>
          <w:szCs w:val="21"/>
        </w:rPr>
        <w:t xml:space="preserve">Cada contribuyente cuenta con una ficha individual organizada en solapas. Las solapas condicionales se muestran únicamente cuando resultan aplicables al contribuyente.</w:t>
      </w:r>
    </w:p>
    <w:p>
      <w:pPr>
        <w:pStyle w:val="Heading2"/>
        <w:spacing w:after="110" w:before="260"/>
      </w:pPr>
      <w:r>
        <w:rPr>
          <w:rFonts w:ascii="Calibri" w:cs="Calibri" w:eastAsia="Calibri" w:hAnsi="Calibri"/>
          <w:b/>
          <w:bCs/>
          <w:color w:val="0F6DF0"/>
          <w:sz w:val="24"/>
          <w:szCs w:val="24"/>
        </w:rPr>
        <w:t xml:space="preserve">3.1. Situación actual</w:t>
      </w:r>
    </w:p>
    <w:p>
      <w:pPr>
        <w:spacing w:after="140" w:line="276"/>
      </w:pPr>
      <w:r>
        <w:rPr>
          <w:rFonts w:ascii="Calibri" w:cs="Calibri" w:eastAsia="Calibri" w:hAnsi="Calibri"/>
          <w:color w:val="20262E"/>
          <w:sz w:val="21"/>
          <w:szCs w:val="21"/>
        </w:rPr>
        <w:t xml:space="preserve">Resumen impositivo del contribuyente a la fecha:</w:t>
      </w:r>
    </w:p>
    <w:p>
      <w:pPr>
        <w:pStyle w:val="ListParagraph"/>
        <w:numPr>
          <w:ilvl w:val="0"/>
          <w:numId w:val="2"/>
        </w:numPr>
        <w:spacing w:after="70" w:line="264"/>
      </w:pPr>
      <w:r>
        <w:rPr>
          <w:rFonts w:ascii="Calibri" w:cs="Calibri" w:eastAsia="Calibri" w:hAnsi="Calibri"/>
          <w:b/>
          <w:bCs/>
          <w:color w:val="20262E"/>
          <w:sz w:val="21"/>
          <w:szCs w:val="21"/>
        </w:rPr>
        <w:t xml:space="preserve">Régimen: </w:t>
      </w:r>
      <w:r>
        <w:rPr>
          <w:rFonts w:ascii="Calibri" w:cs="Calibri" w:eastAsia="Calibri" w:hAnsi="Calibri"/>
          <w:b w:val="false"/>
          <w:bCs w:val="false"/>
          <w:color w:val="20262E"/>
          <w:sz w:val="21"/>
          <w:szCs w:val="21"/>
        </w:rPr>
        <w:t xml:space="preserve">identificación del régimen en que se encuentra inscripto (régimen simplificado o régimen general).</w:t>
      </w:r>
    </w:p>
    <w:p>
      <w:pPr>
        <w:pStyle w:val="ListParagraph"/>
        <w:numPr>
          <w:ilvl w:val="0"/>
          <w:numId w:val="2"/>
        </w:numPr>
        <w:spacing w:after="70" w:line="264"/>
      </w:pPr>
      <w:r>
        <w:rPr>
          <w:rFonts w:ascii="Calibri" w:cs="Calibri" w:eastAsia="Calibri" w:hAnsi="Calibri"/>
          <w:b/>
          <w:bCs/>
          <w:color w:val="20262E"/>
          <w:sz w:val="21"/>
          <w:szCs w:val="21"/>
        </w:rPr>
        <w:t xml:space="preserve">Categoría vigente: </w:t>
      </w:r>
      <w:r>
        <w:rPr>
          <w:rFonts w:ascii="Calibri" w:cs="Calibri" w:eastAsia="Calibri" w:hAnsi="Calibri"/>
          <w:b w:val="false"/>
          <w:bCs w:val="false"/>
          <w:color w:val="20262E"/>
          <w:sz w:val="21"/>
          <w:szCs w:val="21"/>
        </w:rPr>
        <w:t xml:space="preserve">categoría del régimen simplificado, con sus parámetros.</w:t>
      </w:r>
    </w:p>
    <w:p>
      <w:pPr>
        <w:pStyle w:val="ListParagraph"/>
        <w:numPr>
          <w:ilvl w:val="0"/>
          <w:numId w:val="2"/>
        </w:numPr>
        <w:spacing w:after="70" w:line="264"/>
      </w:pPr>
      <w:r>
        <w:rPr>
          <w:rFonts w:ascii="Calibri" w:cs="Calibri" w:eastAsia="Calibri" w:hAnsi="Calibri"/>
          <w:b/>
          <w:bCs/>
          <w:color w:val="20262E"/>
          <w:sz w:val="21"/>
          <w:szCs w:val="21"/>
        </w:rPr>
        <w:t xml:space="preserve">Actividades declaradas: </w:t>
      </w:r>
      <w:r>
        <w:rPr>
          <w:rFonts w:ascii="Calibri" w:cs="Calibri" w:eastAsia="Calibri" w:hAnsi="Calibri"/>
          <w:b w:val="false"/>
          <w:bCs w:val="false"/>
          <w:color w:val="20262E"/>
          <w:sz w:val="21"/>
          <w:szCs w:val="21"/>
        </w:rPr>
        <w:t xml:space="preserve">nómina de actividades económicas declaradas, con código y descripción, destacando la actividad principal.</w:t>
      </w:r>
    </w:p>
    <w:p>
      <w:pPr>
        <w:pStyle w:val="ListParagraph"/>
        <w:numPr>
          <w:ilvl w:val="0"/>
          <w:numId w:val="2"/>
        </w:numPr>
        <w:spacing w:after="70" w:line="264"/>
      </w:pPr>
      <w:r>
        <w:rPr>
          <w:rFonts w:ascii="Calibri" w:cs="Calibri" w:eastAsia="Calibri" w:hAnsi="Calibri"/>
          <w:b/>
          <w:bCs/>
          <w:color w:val="20262E"/>
          <w:sz w:val="21"/>
          <w:szCs w:val="21"/>
        </w:rPr>
        <w:t xml:space="preserve">Visor de tope: </w:t>
      </w:r>
      <w:r>
        <w:rPr>
          <w:rFonts w:ascii="Calibri" w:cs="Calibri" w:eastAsia="Calibri" w:hAnsi="Calibri"/>
          <w:b w:val="false"/>
          <w:bCs w:val="false"/>
          <w:color w:val="20262E"/>
          <w:sz w:val="21"/>
          <w:szCs w:val="21"/>
        </w:rPr>
        <w:t xml:space="preserve">facturación de los últimos doce meses contra el tope de la categoría, en dos modos: situación a hoy y situación con los topes ajustados por inflación, para anticipar si el ritmo de facturación mantiene o no la categoría.</w:t>
      </w:r>
    </w:p>
    <w:p>
      <w:pPr>
        <w:pStyle w:val="ListParagraph"/>
        <w:numPr>
          <w:ilvl w:val="0"/>
          <w:numId w:val="2"/>
        </w:numPr>
        <w:spacing w:after="70" w:line="264"/>
      </w:pPr>
      <w:r>
        <w:rPr>
          <w:rFonts w:ascii="Calibri" w:cs="Calibri" w:eastAsia="Calibri" w:hAnsi="Calibri"/>
          <w:b/>
          <w:bCs/>
          <w:color w:val="20262E"/>
          <w:sz w:val="21"/>
          <w:szCs w:val="21"/>
        </w:rPr>
        <w:t xml:space="preserve">Cuadro de recategorización: </w:t>
      </w:r>
      <w:r>
        <w:rPr>
          <w:rFonts w:ascii="Calibri" w:cs="Calibri" w:eastAsia="Calibri" w:hAnsi="Calibri"/>
          <w:b w:val="false"/>
          <w:bCs w:val="false"/>
          <w:color w:val="20262E"/>
          <w:sz w:val="21"/>
          <w:szCs w:val="21"/>
        </w:rPr>
        <w:t xml:space="preserve">facturación de cada semestre por separado y total anual del período de recategorización, con la categoría que corresponde a cada uno.</w:t>
      </w:r>
    </w:p>
    <w:p>
      <w:pPr>
        <w:pStyle w:val="ListParagraph"/>
        <w:numPr>
          <w:ilvl w:val="0"/>
          <w:numId w:val="2"/>
        </w:numPr>
        <w:spacing w:after="70" w:line="264"/>
      </w:pPr>
      <w:r>
        <w:rPr>
          <w:rFonts w:ascii="Calibri" w:cs="Calibri" w:eastAsia="Calibri" w:hAnsi="Calibri"/>
          <w:b/>
          <w:bCs/>
          <w:color w:val="20262E"/>
          <w:sz w:val="21"/>
          <w:szCs w:val="21"/>
        </w:rPr>
        <w:t xml:space="preserve">Cuota del período: </w:t>
      </w:r>
      <w:r>
        <w:rPr>
          <w:rFonts w:ascii="Calibri" w:cs="Calibri" w:eastAsia="Calibri" w:hAnsi="Calibri"/>
          <w:b w:val="false"/>
          <w:bCs w:val="false"/>
          <w:color w:val="20262E"/>
          <w:sz w:val="21"/>
          <w:szCs w:val="21"/>
        </w:rPr>
        <w:t xml:space="preserve">importe y estado de pago de la cuota, con la cantidad de meses consecutivos adeudados cuando corresponde.</w:t>
      </w:r>
    </w:p>
    <w:p>
      <w:pPr>
        <w:pStyle w:val="ListParagraph"/>
        <w:numPr>
          <w:ilvl w:val="0"/>
          <w:numId w:val="2"/>
        </w:numPr>
        <w:spacing w:after="70" w:line="264"/>
      </w:pPr>
      <w:r>
        <w:rPr>
          <w:rFonts w:ascii="Calibri" w:cs="Calibri" w:eastAsia="Calibri" w:hAnsi="Calibri"/>
          <w:b/>
          <w:bCs/>
          <w:color w:val="20262E"/>
          <w:sz w:val="21"/>
          <w:szCs w:val="21"/>
        </w:rPr>
        <w:t xml:space="preserve">Control de gastos: </w:t>
      </w:r>
      <w:r>
        <w:rPr>
          <w:rFonts w:ascii="Calibri" w:cs="Calibri" w:eastAsia="Calibri" w:hAnsi="Calibri"/>
          <w:b w:val="false"/>
          <w:bCs w:val="false"/>
          <w:color w:val="20262E"/>
          <w:sz w:val="21"/>
          <w:szCs w:val="21"/>
        </w:rPr>
        <w:t xml:space="preserve">relación entre las compras y el parámetro legal, a los efectos del control de causales de exclusión.</w:t>
      </w:r>
    </w:p>
    <w:p>
      <w:pPr>
        <w:pStyle w:val="ListParagraph"/>
        <w:numPr>
          <w:ilvl w:val="0"/>
          <w:numId w:val="2"/>
        </w:numPr>
        <w:spacing w:after="70" w:line="264"/>
      </w:pPr>
      <w:r>
        <w:rPr>
          <w:rFonts w:ascii="Calibri" w:cs="Calibri" w:eastAsia="Calibri" w:hAnsi="Calibri"/>
          <w:b/>
          <w:bCs/>
          <w:color w:val="20262E"/>
          <w:sz w:val="21"/>
          <w:szCs w:val="21"/>
        </w:rPr>
        <w:t xml:space="preserve">Alertas vigentes: </w:t>
      </w:r>
      <w:r>
        <w:rPr>
          <w:rFonts w:ascii="Calibri" w:cs="Calibri" w:eastAsia="Calibri" w:hAnsi="Calibri"/>
          <w:b w:val="false"/>
          <w:bCs w:val="false"/>
          <w:color w:val="20262E"/>
          <w:sz w:val="21"/>
          <w:szCs w:val="21"/>
        </w:rPr>
        <w:t xml:space="preserve">listado de las situaciones detectadas para el contribuyente.</w:t>
      </w:r>
    </w:p>
    <w:p>
      <w:pPr>
        <w:pStyle w:val="ListParagraph"/>
        <w:numPr>
          <w:ilvl w:val="0"/>
          <w:numId w:val="2"/>
        </w:numPr>
        <w:spacing w:after="70" w:line="264"/>
      </w:pPr>
      <w:r>
        <w:rPr>
          <w:rFonts w:ascii="Calibri" w:cs="Calibri" w:eastAsia="Calibri" w:hAnsi="Calibri"/>
          <w:b/>
          <w:bCs/>
          <w:color w:val="20262E"/>
          <w:sz w:val="21"/>
          <w:szCs w:val="21"/>
        </w:rPr>
        <w:t xml:space="preserve">Avisos complementarios: </w:t>
      </w:r>
      <w:r>
        <w:rPr>
          <w:rFonts w:ascii="Calibri" w:cs="Calibri" w:eastAsia="Calibri" w:hAnsi="Calibri"/>
          <w:b w:val="false"/>
          <w:bCs w:val="false"/>
          <w:color w:val="20262E"/>
          <w:sz w:val="21"/>
          <w:szCs w:val="21"/>
        </w:rPr>
        <w:t xml:space="preserve">planes de facilidades caducos y consideración de la relación de dependencia en el análisis de gastos, cuando aplican.</w:t>
      </w:r>
    </w:p>
    <w:p>
      <w:pPr>
        <w:pStyle w:val="Heading2"/>
        <w:spacing w:after="110" w:before="260"/>
      </w:pPr>
      <w:r>
        <w:rPr>
          <w:rFonts w:ascii="Calibri" w:cs="Calibri" w:eastAsia="Calibri" w:hAnsi="Calibri"/>
          <w:b/>
          <w:bCs/>
          <w:color w:val="0F6DF0"/>
          <w:sz w:val="24"/>
          <w:szCs w:val="24"/>
        </w:rPr>
        <w:t xml:space="preserve">3.2. Estado de cuenta</w:t>
      </w:r>
    </w:p>
    <w:p>
      <w:pPr>
        <w:spacing w:after="140" w:line="276"/>
      </w:pPr>
      <w:r>
        <w:rPr>
          <w:rFonts w:ascii="Calibri" w:cs="Calibri" w:eastAsia="Calibri" w:hAnsi="Calibri"/>
          <w:color w:val="20262E"/>
          <w:sz w:val="21"/>
          <w:szCs w:val="21"/>
        </w:rPr>
        <w:t xml:space="preserve">Situación de la cuenta corriente del contribuyente ante el organismo fiscal: deuda total, capital, intereses, saldo a favor y detalle de los movimientos registrados. Se informa expresamente cuando el contribuyente no posee cuenta corriente aplicable por su condición.</w:t>
      </w:r>
    </w:p>
    <w:p>
      <w:pPr>
        <w:pStyle w:val="Heading2"/>
        <w:spacing w:after="110" w:before="260"/>
      </w:pPr>
      <w:r>
        <w:rPr>
          <w:rFonts w:ascii="Calibri" w:cs="Calibri" w:eastAsia="Calibri" w:hAnsi="Calibri"/>
          <w:b/>
          <w:bCs/>
          <w:color w:val="0F6DF0"/>
          <w:sz w:val="24"/>
          <w:szCs w:val="24"/>
        </w:rPr>
        <w:t xml:space="preserve">3.3. Planes de facilidades de pago (condicional)</w:t>
      </w:r>
    </w:p>
    <w:p>
      <w:pPr>
        <w:spacing w:after="140" w:line="276"/>
      </w:pPr>
      <w:r>
        <w:rPr>
          <w:rFonts w:ascii="Calibri" w:cs="Calibri" w:eastAsia="Calibri" w:hAnsi="Calibri"/>
          <w:color w:val="20262E"/>
          <w:sz w:val="21"/>
          <w:szCs w:val="21"/>
        </w:rPr>
        <w:t xml:space="preserve">Nómina de los planes de facilidades de pago del contribuyente, con la situación de cada uno (vigente, caduco o cancelado). Los planes caducos se señalan además en la Situación actual, por implicar la reactivación de la deuda financiada.</w:t>
      </w:r>
    </w:p>
    <w:p>
      <w:pPr>
        <w:pStyle w:val="Heading2"/>
        <w:spacing w:after="110" w:before="260"/>
      </w:pPr>
      <w:r>
        <w:rPr>
          <w:rFonts w:ascii="Calibri" w:cs="Calibri" w:eastAsia="Calibri" w:hAnsi="Calibri"/>
          <w:b/>
          <w:bCs/>
          <w:color w:val="0F6DF0"/>
          <w:sz w:val="24"/>
          <w:szCs w:val="24"/>
        </w:rPr>
        <w:t xml:space="preserve">3.4. Histórico mensual</w:t>
      </w:r>
    </w:p>
    <w:p>
      <w:pPr>
        <w:spacing w:after="140" w:line="276"/>
      </w:pPr>
      <w:r>
        <w:rPr>
          <w:rFonts w:ascii="Calibri" w:cs="Calibri" w:eastAsia="Calibri" w:hAnsi="Calibri"/>
          <w:color w:val="20262E"/>
          <w:sz w:val="21"/>
          <w:szCs w:val="21"/>
        </w:rPr>
        <w:t xml:space="preserve">Evolución mensual de la facturación del contribuyente, para el análisis de estacionalidad, tendencia y consistencia de los períodos declarados.</w:t>
      </w:r>
    </w:p>
    <w:p>
      <w:pPr>
        <w:pStyle w:val="Heading2"/>
        <w:spacing w:after="110" w:before="260"/>
      </w:pPr>
      <w:r>
        <w:rPr>
          <w:rFonts w:ascii="Calibri" w:cs="Calibri" w:eastAsia="Calibri" w:hAnsi="Calibri"/>
          <w:b/>
          <w:bCs/>
          <w:color w:val="0F6DF0"/>
          <w:sz w:val="24"/>
          <w:szCs w:val="24"/>
        </w:rPr>
        <w:t xml:space="preserve">3.5. Facturación 12 meses</w:t>
      </w:r>
    </w:p>
    <w:p>
      <w:pPr>
        <w:pStyle w:val="ListParagraph"/>
        <w:numPr>
          <w:ilvl w:val="0"/>
          <w:numId w:val="2"/>
        </w:numPr>
        <w:spacing w:after="70" w:line="264"/>
      </w:pPr>
      <w:r>
        <w:rPr>
          <w:rFonts w:ascii="Calibri" w:cs="Calibri" w:eastAsia="Calibri" w:hAnsi="Calibri"/>
          <w:b/>
          <w:bCs/>
          <w:color w:val="20262E"/>
          <w:sz w:val="21"/>
          <w:szCs w:val="21"/>
        </w:rPr>
        <w:t xml:space="preserve">Facturación neta consolidada: </w:t>
      </w:r>
      <w:r>
        <w:rPr>
          <w:rFonts w:ascii="Calibri" w:cs="Calibri" w:eastAsia="Calibri" w:hAnsi="Calibri"/>
          <w:b w:val="false"/>
          <w:bCs w:val="false"/>
          <w:color w:val="20262E"/>
          <w:sz w:val="21"/>
          <w:szCs w:val="21"/>
        </w:rPr>
        <w:t xml:space="preserve">de los últimos doce meses, base del control de tope y de la recategorización.</w:t>
      </w:r>
    </w:p>
    <w:p>
      <w:pPr>
        <w:pStyle w:val="ListParagraph"/>
        <w:numPr>
          <w:ilvl w:val="0"/>
          <w:numId w:val="2"/>
        </w:numPr>
        <w:spacing w:after="70" w:line="264"/>
      </w:pPr>
      <w:r>
        <w:rPr>
          <w:rFonts w:ascii="Calibri" w:cs="Calibri" w:eastAsia="Calibri" w:hAnsi="Calibri"/>
          <w:b/>
          <w:bCs/>
          <w:color w:val="20262E"/>
          <w:sz w:val="21"/>
          <w:szCs w:val="21"/>
        </w:rPr>
        <w:t xml:space="preserve">Apertura por punto de venta: </w:t>
      </w:r>
      <w:r>
        <w:rPr>
          <w:rFonts w:ascii="Calibri" w:cs="Calibri" w:eastAsia="Calibri" w:hAnsi="Calibri"/>
          <w:b w:val="false"/>
          <w:bCs w:val="false"/>
          <w:color w:val="20262E"/>
          <w:sz w:val="21"/>
          <w:szCs w:val="21"/>
        </w:rPr>
        <w:t xml:space="preserve">cuando el contribuyente emite desde más de un punto de venta, se discrimina el facturado neto de cada uno.</w:t>
      </w:r>
    </w:p>
    <w:p>
      <w:pPr>
        <w:pStyle w:val="ListParagraph"/>
        <w:numPr>
          <w:ilvl w:val="0"/>
          <w:numId w:val="2"/>
        </w:numPr>
        <w:spacing w:after="70" w:line="264"/>
      </w:pPr>
      <w:r>
        <w:rPr>
          <w:rFonts w:ascii="Calibri" w:cs="Calibri" w:eastAsia="Calibri" w:hAnsi="Calibri"/>
          <w:b/>
          <w:bCs/>
          <w:color w:val="20262E"/>
          <w:sz w:val="21"/>
          <w:szCs w:val="21"/>
        </w:rPr>
        <w:t xml:space="preserve">Consolidación de moneda extranjera: </w:t>
      </w:r>
      <w:r>
        <w:rPr>
          <w:rFonts w:ascii="Calibri" w:cs="Calibri" w:eastAsia="Calibri" w:hAnsi="Calibri"/>
          <w:b w:val="false"/>
          <w:bCs w:val="false"/>
          <w:color w:val="20262E"/>
          <w:sz w:val="21"/>
          <w:szCs w:val="21"/>
        </w:rPr>
        <w:t xml:space="preserve">los comprobantes emitidos en moneda extranjera se convierten a moneda de curso legal a la cotización del propio comprobante.</w:t>
      </w:r>
    </w:p>
    <w:p>
      <w:pPr>
        <w:pStyle w:val="Heading2"/>
        <w:spacing w:after="110" w:before="260"/>
      </w:pPr>
      <w:r>
        <w:rPr>
          <w:rFonts w:ascii="Calibri" w:cs="Calibri" w:eastAsia="Calibri" w:hAnsi="Calibri"/>
          <w:b/>
          <w:bCs/>
          <w:color w:val="0F6DF0"/>
          <w:sz w:val="24"/>
          <w:szCs w:val="24"/>
        </w:rPr>
        <w:t xml:space="preserve">3.6. Facturación agropecuaria (condicional)</w:t>
      </w:r>
    </w:p>
    <w:p>
      <w:pPr>
        <w:spacing w:after="140" w:line="276"/>
      </w:pPr>
      <w:r>
        <w:rPr>
          <w:rFonts w:ascii="Calibri" w:cs="Calibri" w:eastAsia="Calibri" w:hAnsi="Calibri"/>
          <w:color w:val="20262E"/>
          <w:sz w:val="21"/>
          <w:szCs w:val="21"/>
        </w:rPr>
        <w:t xml:space="preserve">Para los contribuyentes del sector agropecuario, apartado propio con las liquidaciones del sector (venta de hacienda y demás operaciones comprendidas). Estas liquidaciones se incorporan a la facturación de los últimos doce meses del contribuyente, sin duplicar los comprobantes ya computados. La condición de agropecuario puede indicarse al dar de alta al contribuyente o activarse posteriormente desde la edición de su ficha.</w:t>
      </w:r>
    </w:p>
    <w:p>
      <w:pPr>
        <w:pStyle w:val="Heading2"/>
        <w:spacing w:after="110" w:before="260"/>
      </w:pPr>
      <w:r>
        <w:rPr>
          <w:rFonts w:ascii="Calibri" w:cs="Calibri" w:eastAsia="Calibri" w:hAnsi="Calibri"/>
          <w:b/>
          <w:bCs/>
          <w:color w:val="0F6DF0"/>
          <w:sz w:val="24"/>
          <w:szCs w:val="24"/>
        </w:rPr>
        <w:t xml:space="preserve">3.7. Relación de dependencia (condicional)</w:t>
      </w:r>
    </w:p>
    <w:p>
      <w:pPr>
        <w:spacing w:after="140" w:line="276"/>
      </w:pPr>
      <w:r>
        <w:rPr>
          <w:rFonts w:ascii="Calibri" w:cs="Calibri" w:eastAsia="Calibri" w:hAnsi="Calibri"/>
          <w:color w:val="20262E"/>
          <w:sz w:val="21"/>
          <w:szCs w:val="21"/>
        </w:rPr>
        <w:t xml:space="preserve">Para los contribuyentes que además perciben ingresos en relación de dependencia, se informa el empleador y la remuneración de los últimos doce meses, y se calcula qué proporción de las compras a consumidor final queda justificada por el haber percibido y qué proporción permanece sin respaldo. La condición se detecta en forma automática y también puede indicarse manualmente.</w:t>
      </w:r>
    </w:p>
    <w:p>
      <w:pPr>
        <w:pStyle w:val="Heading2"/>
        <w:spacing w:after="110" w:before="260"/>
      </w:pPr>
      <w:r>
        <w:rPr>
          <w:rFonts w:ascii="Calibri" w:cs="Calibri" w:eastAsia="Calibri" w:hAnsi="Calibri"/>
          <w:b/>
          <w:bCs/>
          <w:color w:val="0F6DF0"/>
          <w:sz w:val="24"/>
          <w:szCs w:val="24"/>
        </w:rPr>
        <w:t xml:space="preserve">3.8. Conciliación bancaria del contribuyente</w:t>
      </w:r>
    </w:p>
    <w:p>
      <w:pPr>
        <w:spacing w:after="140" w:line="276"/>
      </w:pPr>
      <w:r>
        <w:rPr>
          <w:rFonts w:ascii="Calibri" w:cs="Calibri" w:eastAsia="Calibri" w:hAnsi="Calibri"/>
          <w:color w:val="20262E"/>
          <w:sz w:val="21"/>
          <w:szCs w:val="21"/>
        </w:rPr>
        <w:t xml:space="preserve">Cruce de los movimientos de extractos bancarios y de billeteras del contribuyente contra sus comprobantes emitidos. Se detalla en el apartado 5.</w:t>
      </w:r>
    </w:p>
    <w:p>
      <w:pPr>
        <w:pStyle w:val="Heading2"/>
        <w:spacing w:after="110" w:before="260"/>
      </w:pPr>
      <w:r>
        <w:rPr>
          <w:rFonts w:ascii="Calibri" w:cs="Calibri" w:eastAsia="Calibri" w:hAnsi="Calibri"/>
          <w:b/>
          <w:bCs/>
          <w:color w:val="0F6DF0"/>
          <w:sz w:val="24"/>
          <w:szCs w:val="24"/>
        </w:rPr>
        <w:t xml:space="preserve">3.9. Comprobantes</w:t>
      </w:r>
    </w:p>
    <w:p>
      <w:pPr>
        <w:pStyle w:val="ListParagraph"/>
        <w:numPr>
          <w:ilvl w:val="0"/>
          <w:numId w:val="2"/>
        </w:numPr>
        <w:spacing w:after="70" w:line="264"/>
      </w:pPr>
      <w:r>
        <w:rPr>
          <w:rFonts w:ascii="Calibri" w:cs="Calibri" w:eastAsia="Calibri" w:hAnsi="Calibri"/>
          <w:b/>
          <w:bCs/>
          <w:color w:val="20262E"/>
          <w:sz w:val="21"/>
          <w:szCs w:val="21"/>
        </w:rPr>
        <w:t xml:space="preserve">Comprobantes emitidos y recibidos: </w:t>
      </w:r>
      <w:r>
        <w:rPr>
          <w:rFonts w:ascii="Calibri" w:cs="Calibri" w:eastAsia="Calibri" w:hAnsi="Calibri"/>
          <w:b w:val="false"/>
          <w:bCs w:val="false"/>
          <w:color w:val="20262E"/>
          <w:sz w:val="21"/>
          <w:szCs w:val="21"/>
        </w:rPr>
        <w:t xml:space="preserve">nómina completa del contribuyente, con posibilidad de consultar el detalle de cada uno.</w:t>
      </w:r>
    </w:p>
    <w:p>
      <w:pPr>
        <w:pStyle w:val="ListParagraph"/>
        <w:numPr>
          <w:ilvl w:val="0"/>
          <w:numId w:val="2"/>
        </w:numPr>
        <w:spacing w:after="70" w:line="264"/>
      </w:pPr>
      <w:r>
        <w:rPr>
          <w:rFonts w:ascii="Calibri" w:cs="Calibri" w:eastAsia="Calibri" w:hAnsi="Calibri"/>
          <w:b/>
          <w:bCs/>
          <w:color w:val="20262E"/>
          <w:sz w:val="21"/>
          <w:szCs w:val="21"/>
        </w:rPr>
        <w:t xml:space="preserve">Carga manual: </w:t>
      </w:r>
      <w:r>
        <w:rPr>
          <w:rFonts w:ascii="Calibri" w:cs="Calibri" w:eastAsia="Calibri" w:hAnsi="Calibri"/>
          <w:b w:val="false"/>
          <w:bCs w:val="false"/>
          <w:color w:val="20262E"/>
          <w:sz w:val="21"/>
          <w:szCs w:val="21"/>
        </w:rPr>
        <w:t xml:space="preserve">incorporación de ventas no electrónicas (por ejemplo, facturas de talonario) y de compras o gastos que no figuren entre los comprobantes del contribuyente. Los comprobantes cargados manualmente quedan identificados con una etiqueta y pueden eliminarse.</w:t>
      </w:r>
    </w:p>
    <w:p>
      <w:pPr>
        <w:pStyle w:val="ListParagraph"/>
        <w:numPr>
          <w:ilvl w:val="0"/>
          <w:numId w:val="2"/>
        </w:numPr>
        <w:spacing w:after="70" w:line="264"/>
      </w:pPr>
      <w:r>
        <w:rPr>
          <w:rFonts w:ascii="Calibri" w:cs="Calibri" w:eastAsia="Calibri" w:hAnsi="Calibri"/>
          <w:b/>
          <w:bCs/>
          <w:color w:val="20262E"/>
          <w:sz w:val="21"/>
          <w:szCs w:val="21"/>
        </w:rPr>
        <w:t xml:space="preserve">Cómputo: </w:t>
      </w:r>
      <w:r>
        <w:rPr>
          <w:rFonts w:ascii="Calibri" w:cs="Calibri" w:eastAsia="Calibri" w:hAnsi="Calibri"/>
          <w:b w:val="false"/>
          <w:bCs w:val="false"/>
          <w:color w:val="20262E"/>
          <w:sz w:val="21"/>
          <w:szCs w:val="21"/>
        </w:rPr>
        <w:t xml:space="preserve">las ventas cargadas manualmente integran la facturación de los últimos doce meses y se consideran a los fines de la categoría y la recategorización.</w:t>
      </w:r>
    </w:p>
    <w:p>
      <w:pPr>
        <w:pStyle w:val="ListParagraph"/>
        <w:numPr>
          <w:ilvl w:val="0"/>
          <w:numId w:val="2"/>
        </w:numPr>
        <w:spacing w:after="70" w:line="264"/>
      </w:pPr>
      <w:r>
        <w:rPr>
          <w:rFonts w:ascii="Calibri" w:cs="Calibri" w:eastAsia="Calibri" w:hAnsi="Calibri"/>
          <w:b/>
          <w:bCs/>
          <w:color w:val="20262E"/>
          <w:sz w:val="21"/>
          <w:szCs w:val="21"/>
        </w:rPr>
        <w:t xml:space="preserve">Descarga: </w:t>
      </w:r>
      <w:r>
        <w:rPr>
          <w:rFonts w:ascii="Calibri" w:cs="Calibri" w:eastAsia="Calibri" w:hAnsi="Calibri"/>
          <w:b w:val="false"/>
          <w:bCs w:val="false"/>
          <w:color w:val="20262E"/>
          <w:sz w:val="21"/>
          <w:szCs w:val="21"/>
        </w:rPr>
        <w:t xml:space="preserve">los comprobantes emitidos desde la plataforma pueden descargarse en PDF en cualquier momento.</w:t>
      </w:r>
    </w:p>
    <w:p>
      <w:pPr>
        <w:pStyle w:val="Heading2"/>
        <w:spacing w:after="110" w:before="260"/>
      </w:pPr>
      <w:r>
        <w:rPr>
          <w:rFonts w:ascii="Calibri" w:cs="Calibri" w:eastAsia="Calibri" w:hAnsi="Calibri"/>
          <w:b/>
          <w:bCs/>
          <w:color w:val="0F6DF0"/>
          <w:sz w:val="24"/>
          <w:szCs w:val="24"/>
        </w:rPr>
        <w:t xml:space="preserve">3.10. Domicilio Fiscal Electrónico</w:t>
      </w:r>
    </w:p>
    <w:p>
      <w:pPr>
        <w:spacing w:after="140" w:line="276"/>
      </w:pPr>
      <w:r>
        <w:rPr>
          <w:rFonts w:ascii="Calibri" w:cs="Calibri" w:eastAsia="Calibri" w:hAnsi="Calibri"/>
          <w:color w:val="20262E"/>
          <w:sz w:val="21"/>
          <w:szCs w:val="21"/>
        </w:rPr>
        <w:t xml:space="preserve">Comunicaciones oficiales recibidas por el contribuyente en su domicilio fiscal electrónico. Las no leídas se señalan con un indicador visual; al abrir una comunicación se muestra su contenido completo y queda marcada como leída. Comprende tanto al titular como a los contribuyentes que éste representa.</w:t>
      </w:r>
    </w:p>
    <w:p>
      <w:pPr>
        <w:pStyle w:val="Heading2"/>
        <w:spacing w:after="110" w:before="260"/>
      </w:pPr>
      <w:r>
        <w:rPr>
          <w:rFonts w:ascii="Calibri" w:cs="Calibri" w:eastAsia="Calibri" w:hAnsi="Calibri"/>
          <w:b/>
          <w:bCs/>
          <w:color w:val="0F6DF0"/>
          <w:sz w:val="24"/>
          <w:szCs w:val="24"/>
        </w:rPr>
        <w:t xml:space="preserve">3.11. Notas del profesional</w:t>
      </w:r>
    </w:p>
    <w:p>
      <w:pPr>
        <w:spacing w:after="140" w:line="276"/>
      </w:pPr>
      <w:r>
        <w:rPr>
          <w:rFonts w:ascii="Calibri" w:cs="Calibri" w:eastAsia="Calibri" w:hAnsi="Calibri"/>
          <w:color w:val="20262E"/>
          <w:sz w:val="21"/>
          <w:szCs w:val="21"/>
        </w:rPr>
        <w:t xml:space="preserve">Espacio de anotaciones internas por contribuyente, de uso exclusivo del estudio.</w:t>
      </w:r>
    </w:p>
    <w:p>
      <w:pPr>
        <w:pStyle w:val="Heading2"/>
        <w:spacing w:after="110" w:before="260"/>
      </w:pPr>
      <w:r>
        <w:rPr>
          <w:rFonts w:ascii="Calibri" w:cs="Calibri" w:eastAsia="Calibri" w:hAnsi="Calibri"/>
          <w:b/>
          <w:bCs/>
          <w:color w:val="0F6DF0"/>
          <w:sz w:val="24"/>
          <w:szCs w:val="24"/>
        </w:rPr>
        <w:t xml:space="preserve">3.12. Acciones sobre el contribuyente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tcW w:type="dxa" w:w="2300"/>
            <w:tcBorders>
              <w:top w:val="single" w:color="D8DEE7" w:sz="4"/>
              <w:left w:val="single" w:color="D8DEE7" w:sz="4"/>
              <w:bottom w:val="single" w:color="D8DEE7" w:sz="4"/>
              <w:right w:val="single" w:color="D8DEE7" w:sz="4"/>
            </w:tcBorders>
            <w:shd w:fill="0F6DF0" w:color="auto" w:val="clear"/>
            <w:tcMar>
              <w:top w:type="dxa" w:w="90"/>
              <w:left w:type="dxa" w:w="130"/>
              <w:bottom w:type="dxa" w:w="90"/>
              <w:right w:type="dxa" w:w="130"/>
            </w:tcMar>
          </w:tcPr>
          <w:p>
            <w:pPr>
              <w:spacing w:after="0" w:line="250"/>
            </w:pPr>
            <w:r>
              <w:rPr>
                <w:rFonts w:ascii="Calibri" w:cs="Calibri" w:eastAsia="Calibri" w:hAnsi="Calibri"/>
                <w:b/>
                <w:bCs/>
                <w:color w:val="FFFFFF"/>
                <w:sz w:val="19"/>
                <w:szCs w:val="19"/>
              </w:rPr>
              <w:t xml:space="preserve">Acción</w:t>
            </w:r>
          </w:p>
        </w:tc>
        <w:tc>
          <w:tcPr>
            <w:tcW w:type="dxa" w:w="6700"/>
            <w:tcBorders>
              <w:top w:val="single" w:color="D8DEE7" w:sz="4"/>
              <w:left w:val="single" w:color="D8DEE7" w:sz="4"/>
              <w:bottom w:val="single" w:color="D8DEE7" w:sz="4"/>
              <w:right w:val="single" w:color="D8DEE7" w:sz="4"/>
            </w:tcBorders>
            <w:shd w:fill="0F6DF0" w:color="auto" w:val="clear"/>
            <w:tcMar>
              <w:top w:type="dxa" w:w="90"/>
              <w:left w:type="dxa" w:w="130"/>
              <w:bottom w:type="dxa" w:w="90"/>
              <w:right w:type="dxa" w:w="130"/>
            </w:tcMar>
          </w:tcPr>
          <w:p>
            <w:pPr>
              <w:spacing w:after="0" w:line="250"/>
            </w:pPr>
            <w:r>
              <w:rPr>
                <w:rFonts w:ascii="Calibri" w:cs="Calibri" w:eastAsia="Calibri" w:hAnsi="Calibri"/>
                <w:b/>
                <w:bCs/>
                <w:color w:val="FFFFFF"/>
                <w:sz w:val="19"/>
                <w:szCs w:val="19"/>
              </w:rPr>
              <w:t xml:space="preserve">Descripción</w:t>
            </w:r>
          </w:p>
        </w:tc>
      </w:tr>
      <w:tr>
        <w:tc>
          <w:tcPr>
            <w:tcW w:type="dxa" w:w="23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Editar contribuyente</w:t>
            </w:r>
          </w:p>
        </w:tc>
        <w:tc>
          <w:tcPr>
            <w:tcW w:type="dxa" w:w="67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Modificación de los datos de la ficha, incluidas las condiciones de agropecuario y de relación de dependencia.</w:t>
            </w:r>
          </w:p>
        </w:tc>
      </w:tr>
      <w:tr>
        <w:tc>
          <w:tcPr>
            <w:tcW w:type="dxa" w:w="23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Actualizar clave fiscal</w:t>
            </w:r>
          </w:p>
        </w:tc>
        <w:tc>
          <w:tcPr>
            <w:tcW w:type="dxa" w:w="67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Carga de la nueva clave fiscal cuando el contribuyente la modifica. Se muestra la clave previamente registrada como referencia y la información se actualiza en el acto.</w:t>
            </w:r>
          </w:p>
        </w:tc>
      </w:tr>
      <w:tr>
        <w:tc>
          <w:tcPr>
            <w:tcW w:type="dxa" w:w="23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Constancia de inscripción</w:t>
            </w:r>
          </w:p>
        </w:tc>
        <w:tc>
          <w:tcPr>
            <w:tcW w:type="dxa" w:w="67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Apertura de la constancia de inscripción vigente del contribuyente, lista para imprimir o guardar en PDF.</w:t>
            </w:r>
          </w:p>
        </w:tc>
      </w:tr>
      <w:tr>
        <w:tc>
          <w:tcPr>
            <w:tcW w:type="dxa" w:w="23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Activar o pausar monitoreo</w:t>
            </w:r>
          </w:p>
        </w:tc>
        <w:tc>
          <w:tcPr>
            <w:tcW w:type="dxa" w:w="67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Suspensión y reanudación del seguimiento del contribuyente sin pérdida de su información histórica.</w:t>
            </w:r>
          </w:p>
        </w:tc>
      </w:tr>
      <w:tr>
        <w:tc>
          <w:tcPr>
            <w:tcW w:type="dxa" w:w="23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Emitir comprobante</w:t>
            </w:r>
          </w:p>
        </w:tc>
        <w:tc>
          <w:tcPr>
            <w:tcW w:type="dxa" w:w="67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Emisión de comprobantes electrónicos a nombre del contribuyente (apartado 4).</w:t>
            </w:r>
          </w:p>
        </w:tc>
      </w:tr>
      <w:tr>
        <w:tc>
          <w:tcPr>
            <w:tcW w:type="dxa" w:w="23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Reporte del contribuyente</w:t>
            </w:r>
          </w:p>
        </w:tc>
        <w:tc>
          <w:tcPr>
            <w:tcW w:type="dxa" w:w="67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Generación del papel de trabajo imprimible (apartado 7).</w:t>
            </w:r>
          </w:p>
        </w:tc>
      </w:tr>
      <w:tr>
        <w:tc>
          <w:tcPr>
            <w:tcW w:type="dxa" w:w="23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Eliminar contribuyente</w:t>
            </w:r>
          </w:p>
        </w:tc>
        <w:tc>
          <w:tcPr>
            <w:tcW w:type="dxa" w:w="67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Baja del contribuyente de la cartera del estudio.</w:t>
            </w:r>
          </w:p>
        </w:tc>
      </w:tr>
    </w:tbl>
    <w:p>
      <w:r>
        <w:br w:type="page"/>
      </w:r>
    </w:p>
    <w:p>
      <w:pPr>
        <w:pStyle w:val="Heading1"/>
        <w:pBdr>
          <w:bottom w:val="single" w:color="0F6DF0" w:sz="10" w:space="6"/>
        </w:pBdr>
        <w:spacing w:after="180" w:before="340"/>
      </w:pPr>
      <w:r>
        <w:rPr>
          <w:rFonts w:ascii="Calibri" w:cs="Calibri" w:eastAsia="Calibri" w:hAnsi="Calibri"/>
          <w:b/>
          <w:bCs/>
          <w:color w:val="10192D"/>
          <w:sz w:val="30"/>
          <w:szCs w:val="30"/>
        </w:rPr>
        <w:t xml:space="preserve">4. Emisión de comprobantes electrónicos</w:t>
      </w:r>
    </w:p>
    <w:p>
      <w:pPr>
        <w:spacing w:after="140" w:line="276"/>
      </w:pPr>
      <w:r>
        <w:rPr>
          <w:rFonts w:ascii="Calibri" w:cs="Calibri" w:eastAsia="Calibri" w:hAnsi="Calibri"/>
          <w:color w:val="20262E"/>
          <w:sz w:val="21"/>
          <w:szCs w:val="21"/>
        </w:rPr>
        <w:t xml:space="preserve">La plataforma permite emitir comprobantes electrónicos a nombre de los contribuyentes monotributistas de la cartera, con validez fiscal.</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tcW w:type="dxa" w:w="2300"/>
            <w:tcBorders>
              <w:top w:val="single" w:color="D8DEE7" w:sz="4"/>
              <w:left w:val="single" w:color="D8DEE7" w:sz="4"/>
              <w:bottom w:val="single" w:color="D8DEE7" w:sz="4"/>
              <w:right w:val="single" w:color="D8DEE7" w:sz="4"/>
            </w:tcBorders>
            <w:shd w:fill="0F6DF0" w:color="auto" w:val="clear"/>
            <w:tcMar>
              <w:top w:type="dxa" w:w="90"/>
              <w:left w:type="dxa" w:w="130"/>
              <w:bottom w:type="dxa" w:w="90"/>
              <w:right w:type="dxa" w:w="130"/>
            </w:tcMar>
          </w:tcPr>
          <w:p>
            <w:pPr>
              <w:spacing w:after="0" w:line="250"/>
            </w:pPr>
            <w:r>
              <w:rPr>
                <w:rFonts w:ascii="Calibri" w:cs="Calibri" w:eastAsia="Calibri" w:hAnsi="Calibri"/>
                <w:b/>
                <w:bCs/>
                <w:color w:val="FFFFFF"/>
                <w:sz w:val="19"/>
                <w:szCs w:val="19"/>
              </w:rPr>
              <w:t xml:space="preserve">Prestación</w:t>
            </w:r>
          </w:p>
        </w:tc>
        <w:tc>
          <w:tcPr>
            <w:tcW w:type="dxa" w:w="6700"/>
            <w:tcBorders>
              <w:top w:val="single" w:color="D8DEE7" w:sz="4"/>
              <w:left w:val="single" w:color="D8DEE7" w:sz="4"/>
              <w:bottom w:val="single" w:color="D8DEE7" w:sz="4"/>
              <w:right w:val="single" w:color="D8DEE7" w:sz="4"/>
            </w:tcBorders>
            <w:shd w:fill="0F6DF0" w:color="auto" w:val="clear"/>
            <w:tcMar>
              <w:top w:type="dxa" w:w="90"/>
              <w:left w:type="dxa" w:w="130"/>
              <w:bottom w:type="dxa" w:w="90"/>
              <w:right w:type="dxa" w:w="130"/>
            </w:tcMar>
          </w:tcPr>
          <w:p>
            <w:pPr>
              <w:spacing w:after="0" w:line="250"/>
            </w:pPr>
            <w:r>
              <w:rPr>
                <w:rFonts w:ascii="Calibri" w:cs="Calibri" w:eastAsia="Calibri" w:hAnsi="Calibri"/>
                <w:b/>
                <w:bCs/>
                <w:color w:val="FFFFFF"/>
                <w:sz w:val="19"/>
                <w:szCs w:val="19"/>
              </w:rPr>
              <w:t xml:space="preserve">Detalle</w:t>
            </w:r>
          </w:p>
        </w:tc>
      </w:tr>
      <w:tr>
        <w:tc>
          <w:tcPr>
            <w:tcW w:type="dxa" w:w="23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Comprobantes habilitados</w:t>
            </w:r>
          </w:p>
        </w:tc>
        <w:tc>
          <w:tcPr>
            <w:tcW w:type="dxa" w:w="67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Factura C y Nota de Crédito C.</w:t>
            </w:r>
          </w:p>
        </w:tc>
      </w:tr>
      <w:tr>
        <w:tc>
          <w:tcPr>
            <w:tcW w:type="dxa" w:w="23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Autorización</w:t>
            </w:r>
          </w:p>
        </w:tc>
        <w:tc>
          <w:tcPr>
            <w:tcW w:type="dxa" w:w="67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Cada comprobante se emite con su Código de Autorización Electrónico (CAE) y su fecha de vencimiento.</w:t>
            </w:r>
          </w:p>
        </w:tc>
      </w:tr>
      <w:tr>
        <w:tc>
          <w:tcPr>
            <w:tcW w:type="dxa" w:w="23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Detalle por ítems</w:t>
            </w:r>
          </w:p>
        </w:tc>
        <w:tc>
          <w:tcPr>
            <w:tcW w:type="dxa" w:w="67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El comprobante puede emitirse por un importe total único o desglosado en múltiples renglones con descripción, cantidad y precio unitario, con cálculo automático del total. El detalle se refleja en el comprobante impreso.</w:t>
            </w:r>
          </w:p>
        </w:tc>
      </w:tr>
      <w:tr>
        <w:tc>
          <w:tcPr>
            <w:tcW w:type="dxa" w:w="23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Comprobante impreso</w:t>
            </w:r>
          </w:p>
        </w:tc>
        <w:tc>
          <w:tcPr>
            <w:tcW w:type="dxa" w:w="67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Descarga en PDF con el CAE, su vencimiento y el código QR, listo para entregar al contribuyente.</w:t>
            </w:r>
          </w:p>
        </w:tc>
      </w:tr>
      <w:tr>
        <w:tc>
          <w:tcPr>
            <w:tcW w:type="dxa" w:w="23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Control de precio unitario</w:t>
            </w:r>
          </w:p>
        </w:tc>
        <w:tc>
          <w:tcPr>
            <w:tcW w:type="dxa" w:w="67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Advertencia previa a la confirmación cuando el importe supera el precio unitario máximo de venta admitido en el régimen simplificado.</w:t>
            </w:r>
          </w:p>
        </w:tc>
      </w:tr>
      <w:tr>
        <w:tc>
          <w:tcPr>
            <w:tcW w:type="dxa" w:w="23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Integración</w:t>
            </w:r>
          </w:p>
        </w:tc>
        <w:tc>
          <w:tcPr>
            <w:tcW w:type="dxa" w:w="67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El comprobante emitido se incorpora automáticamente al resto de los comprobantes del contribuyente y a su facturación de los últimos doce meses.</w:t>
            </w:r>
          </w:p>
        </w:tc>
      </w:tr>
    </w:tbl>
    <w:p>
      <w:pPr>
        <w:pStyle w:val="Heading1"/>
        <w:pBdr>
          <w:bottom w:val="single" w:color="0F6DF0" w:sz="10" w:space="6"/>
        </w:pBdr>
        <w:spacing w:after="180" w:before="340"/>
      </w:pPr>
      <w:r>
        <w:rPr>
          <w:rFonts w:ascii="Calibri" w:cs="Calibri" w:eastAsia="Calibri" w:hAnsi="Calibri"/>
          <w:b/>
          <w:bCs/>
          <w:color w:val="10192D"/>
          <w:sz w:val="30"/>
          <w:szCs w:val="30"/>
        </w:rPr>
        <w:t xml:space="preserve">5. Conciliación bancaria</w:t>
      </w:r>
    </w:p>
    <w:p>
      <w:pPr>
        <w:spacing w:after="140" w:line="276"/>
      </w:pPr>
      <w:r>
        <w:rPr>
          <w:rFonts w:ascii="Calibri" w:cs="Calibri" w:eastAsia="Calibri" w:hAnsi="Calibri"/>
          <w:color w:val="20262E"/>
          <w:sz w:val="21"/>
          <w:szCs w:val="21"/>
        </w:rPr>
        <w:t xml:space="preserve">Cruce de los movimientos de cuentas bancarias y billeteras virtuales de los contribuyentes contra sus comprobantes emitidos, a los fines de detectar cobros no facturados y validar la integridad de la facturación declarada.</w:t>
      </w:r>
    </w:p>
    <w:p>
      <w:pPr>
        <w:pStyle w:val="Heading2"/>
        <w:spacing w:after="110" w:before="260"/>
      </w:pPr>
      <w:r>
        <w:rPr>
          <w:rFonts w:ascii="Calibri" w:cs="Calibri" w:eastAsia="Calibri" w:hAnsi="Calibri"/>
          <w:b/>
          <w:bCs/>
          <w:color w:val="0F6DF0"/>
          <w:sz w:val="24"/>
          <w:szCs w:val="24"/>
        </w:rPr>
        <w:t xml:space="preserve">5.1. Carga de extractos</w:t>
      </w:r>
    </w:p>
    <w:p>
      <w:pPr>
        <w:pStyle w:val="ListParagraph"/>
        <w:numPr>
          <w:ilvl w:val="0"/>
          <w:numId w:val="2"/>
        </w:numPr>
        <w:spacing w:after="70" w:line="264"/>
      </w:pPr>
      <w:r>
        <w:rPr>
          <w:rFonts w:ascii="Calibri" w:cs="Calibri" w:eastAsia="Calibri" w:hAnsi="Calibri"/>
          <w:b/>
          <w:bCs/>
          <w:color w:val="20262E"/>
          <w:sz w:val="21"/>
          <w:szCs w:val="21"/>
        </w:rPr>
        <w:t xml:space="preserve">Formatos admitidos: </w:t>
      </w:r>
      <w:r>
        <w:rPr>
          <w:rFonts w:ascii="Calibri" w:cs="Calibri" w:eastAsia="Calibri" w:hAnsi="Calibri"/>
          <w:b w:val="false"/>
          <w:bCs w:val="false"/>
          <w:color w:val="20262E"/>
          <w:sz w:val="21"/>
          <w:szCs w:val="21"/>
        </w:rPr>
        <w:t xml:space="preserve">planillas de cálculo (XLSX, XLS), archivos de texto delimitado (CSV, TXT) y resúmenes en PDF.</w:t>
      </w:r>
    </w:p>
    <w:p>
      <w:pPr>
        <w:pStyle w:val="ListParagraph"/>
        <w:numPr>
          <w:ilvl w:val="0"/>
          <w:numId w:val="2"/>
        </w:numPr>
        <w:spacing w:after="70" w:line="264"/>
      </w:pPr>
      <w:r>
        <w:rPr>
          <w:rFonts w:ascii="Calibri" w:cs="Calibri" w:eastAsia="Calibri" w:hAnsi="Calibri"/>
          <w:b/>
          <w:bCs/>
          <w:color w:val="20262E"/>
          <w:sz w:val="21"/>
          <w:szCs w:val="21"/>
        </w:rPr>
        <w:t xml:space="preserve">Resúmenes en PDF: </w:t>
      </w:r>
      <w:r>
        <w:rPr>
          <w:rFonts w:ascii="Calibri" w:cs="Calibri" w:eastAsia="Calibri" w:hAnsi="Calibri"/>
          <w:b w:val="false"/>
          <w:bCs w:val="false"/>
          <w:color w:val="20262E"/>
          <w:sz w:val="21"/>
          <w:szCs w:val="21"/>
        </w:rPr>
        <w:t xml:space="preserve">reconocimiento automático del formato de MercadoPago, Banco Provincia y Brubank.</w:t>
      </w:r>
    </w:p>
    <w:p>
      <w:pPr>
        <w:pStyle w:val="ListParagraph"/>
        <w:numPr>
          <w:ilvl w:val="0"/>
          <w:numId w:val="2"/>
        </w:numPr>
        <w:spacing w:after="70" w:line="264"/>
      </w:pPr>
      <w:r>
        <w:rPr>
          <w:rFonts w:ascii="Calibri" w:cs="Calibri" w:eastAsia="Calibri" w:hAnsi="Calibri"/>
          <w:b/>
          <w:bCs/>
          <w:color w:val="20262E"/>
          <w:sz w:val="21"/>
          <w:szCs w:val="21"/>
        </w:rPr>
        <w:t xml:space="preserve">Carga masiva: </w:t>
      </w:r>
      <w:r>
        <w:rPr>
          <w:rFonts w:ascii="Calibri" w:cs="Calibri" w:eastAsia="Calibri" w:hAnsi="Calibri"/>
          <w:b w:val="false"/>
          <w:bCs w:val="false"/>
          <w:color w:val="20262E"/>
          <w:sz w:val="21"/>
          <w:szCs w:val="21"/>
        </w:rPr>
        <w:t xml:space="preserve">sección centralizada de conciliación que admite la carga de múltiples extractos y su asignación automática al contribuyente correspondiente.</w:t>
      </w:r>
    </w:p>
    <w:p>
      <w:pPr>
        <w:pStyle w:val="ListParagraph"/>
        <w:numPr>
          <w:ilvl w:val="0"/>
          <w:numId w:val="2"/>
        </w:numPr>
        <w:spacing w:after="70" w:line="264"/>
      </w:pPr>
      <w:r>
        <w:rPr>
          <w:rFonts w:ascii="Calibri" w:cs="Calibri" w:eastAsia="Calibri" w:hAnsi="Calibri"/>
          <w:b/>
          <w:bCs/>
          <w:color w:val="20262E"/>
          <w:sz w:val="21"/>
          <w:szCs w:val="21"/>
        </w:rPr>
        <w:t xml:space="preserve">Carga por contribuyente: </w:t>
      </w:r>
      <w:r>
        <w:rPr>
          <w:rFonts w:ascii="Calibri" w:cs="Calibri" w:eastAsia="Calibri" w:hAnsi="Calibri"/>
          <w:b w:val="false"/>
          <w:bCs w:val="false"/>
          <w:color w:val="20262E"/>
          <w:sz w:val="21"/>
          <w:szCs w:val="21"/>
        </w:rPr>
        <w:t xml:space="preserve">los extractos también pueden cargarse directamente desde la ficha del contribuyente.</w:t>
      </w:r>
    </w:p>
    <w:p>
      <w:pPr>
        <w:pStyle w:val="ListParagraph"/>
        <w:numPr>
          <w:ilvl w:val="0"/>
          <w:numId w:val="2"/>
        </w:numPr>
        <w:spacing w:after="70" w:line="264"/>
      </w:pPr>
      <w:r>
        <w:rPr>
          <w:rFonts w:ascii="Calibri" w:cs="Calibri" w:eastAsia="Calibri" w:hAnsi="Calibri"/>
          <w:b/>
          <w:bCs/>
          <w:color w:val="20262E"/>
          <w:sz w:val="21"/>
          <w:szCs w:val="21"/>
        </w:rPr>
        <w:t xml:space="preserve">Tolerancia por origen: </w:t>
      </w:r>
      <w:r>
        <w:rPr>
          <w:rFonts w:ascii="Calibri" w:cs="Calibri" w:eastAsia="Calibri" w:hAnsi="Calibri"/>
          <w:b w:val="false"/>
          <w:bCs w:val="false"/>
          <w:color w:val="20262E"/>
          <w:sz w:val="21"/>
          <w:szCs w:val="21"/>
        </w:rPr>
        <w:t xml:space="preserve">el cruce contempla las particularidades de cada origen; en el caso de las billeteras virtuales se considera la comisión retenida.</w:t>
      </w:r>
    </w:p>
    <w:p>
      <w:pPr>
        <w:pStyle w:val="Heading2"/>
        <w:spacing w:after="110" w:before="260"/>
      </w:pPr>
      <w:r>
        <w:rPr>
          <w:rFonts w:ascii="Calibri" w:cs="Calibri" w:eastAsia="Calibri" w:hAnsi="Calibri"/>
          <w:b/>
          <w:bCs/>
          <w:color w:val="0F6DF0"/>
          <w:sz w:val="24"/>
          <w:szCs w:val="24"/>
        </w:rPr>
        <w:t xml:space="preserve">5.2. Resultado de la conciliación</w:t>
      </w:r>
    </w:p>
    <w:p>
      <w:pPr>
        <w:spacing w:after="140" w:line="276"/>
      </w:pPr>
      <w:r>
        <w:rPr>
          <w:rFonts w:ascii="Calibri" w:cs="Calibri" w:eastAsia="Calibri" w:hAnsi="Calibri"/>
          <w:color w:val="20262E"/>
          <w:sz w:val="21"/>
          <w:szCs w:val="21"/>
        </w:rPr>
        <w:t xml:space="preserve">Cada movimiento queda clasificado en uno de los siguientes estados, con resumen de cantidad e importe por estado:</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tcBorders>
              <w:top w:val="single" w:color="D8DEE7" w:sz="4"/>
              <w:left w:val="single" w:color="D8DEE7" w:sz="4"/>
              <w:bottom w:val="single" w:color="D8DEE7" w:sz="4"/>
              <w:right w:val="single" w:color="D8DEE7" w:sz="4"/>
            </w:tcBorders>
            <w:shd w:fill="0F6DF0" w:color="auto" w:val="clear"/>
            <w:tcMar>
              <w:top w:type="dxa" w:w="90"/>
              <w:left w:type="dxa" w:w="130"/>
              <w:bottom w:type="dxa" w:w="90"/>
              <w:right w:type="dxa" w:w="130"/>
            </w:tcMar>
          </w:tcPr>
          <w:p>
            <w:pPr>
              <w:spacing w:after="0" w:line="250"/>
            </w:pPr>
            <w:r>
              <w:rPr>
                <w:rFonts w:ascii="Calibri" w:cs="Calibri" w:eastAsia="Calibri" w:hAnsi="Calibri"/>
                <w:b/>
                <w:bCs/>
                <w:color w:val="FFFFFF"/>
                <w:sz w:val="19"/>
                <w:szCs w:val="19"/>
              </w:rPr>
              <w:t xml:space="preserve">Estado</w:t>
            </w:r>
          </w:p>
        </w:tc>
        <w:tc>
          <w:tcPr>
            <w:tcW w:type="dxa" w:w="7100"/>
            <w:tcBorders>
              <w:top w:val="single" w:color="D8DEE7" w:sz="4"/>
              <w:left w:val="single" w:color="D8DEE7" w:sz="4"/>
              <w:bottom w:val="single" w:color="D8DEE7" w:sz="4"/>
              <w:right w:val="single" w:color="D8DEE7" w:sz="4"/>
            </w:tcBorders>
            <w:shd w:fill="0F6DF0" w:color="auto" w:val="clear"/>
            <w:tcMar>
              <w:top w:type="dxa" w:w="90"/>
              <w:left w:type="dxa" w:w="130"/>
              <w:bottom w:type="dxa" w:w="90"/>
              <w:right w:type="dxa" w:w="130"/>
            </w:tcMar>
          </w:tcPr>
          <w:p>
            <w:pPr>
              <w:spacing w:after="0" w:line="250"/>
            </w:pPr>
            <w:r>
              <w:rPr>
                <w:rFonts w:ascii="Calibri" w:cs="Calibri" w:eastAsia="Calibri" w:hAnsi="Calibri"/>
                <w:b/>
                <w:bCs/>
                <w:color w:val="FFFFFF"/>
                <w:sz w:val="19"/>
                <w:szCs w:val="19"/>
              </w:rPr>
              <w:t xml:space="preserve">Significado</w:t>
            </w:r>
          </w:p>
        </w:tc>
      </w:tr>
      <w:tr>
        <w:tc>
          <w:tcPr>
            <w:tcW w:type="dxa" w:w="19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Conciliado</w:t>
            </w:r>
          </w:p>
        </w:tc>
        <w:tc>
          <w:tcPr>
            <w:tcW w:type="dxa" w:w="71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El movimiento se corresponde con un comprobante emitido.</w:t>
            </w:r>
          </w:p>
        </w:tc>
      </w:tr>
      <w:tr>
        <w:tc>
          <w:tcPr>
            <w:tcW w:type="dxa" w:w="19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A confirmar</w:t>
            </w:r>
          </w:p>
        </w:tc>
        <w:tc>
          <w:tcPr>
            <w:tcW w:type="dxa" w:w="71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Se detectó una correspondencia probable, sujeta a confirmación del profesional.</w:t>
            </w:r>
          </w:p>
        </w:tc>
      </w:tr>
      <w:tr>
        <w:tc>
          <w:tcPr>
            <w:tcW w:type="dxa" w:w="19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Por facturar</w:t>
            </w:r>
          </w:p>
        </w:tc>
        <w:tc>
          <w:tcPr>
            <w:tcW w:type="dxa" w:w="71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El cobro no tiene comprobante asociado y corresponde emitirlo.</w:t>
            </w:r>
          </w:p>
        </w:tc>
      </w:tr>
      <w:tr>
        <w:tc>
          <w:tcPr>
            <w:tcW w:type="dxa" w:w="19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Pendiente</w:t>
            </w:r>
          </w:p>
        </w:tc>
        <w:tc>
          <w:tcPr>
            <w:tcW w:type="dxa" w:w="71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El movimiento aún no fue resuelto.</w:t>
            </w:r>
          </w:p>
        </w:tc>
      </w:tr>
      <w:tr>
        <w:tc>
          <w:tcPr>
            <w:tcW w:type="dxa" w:w="19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Descartado</w:t>
            </w:r>
          </w:p>
        </w:tc>
        <w:tc>
          <w:tcPr>
            <w:tcW w:type="dxa" w:w="71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El movimiento no constituye un ingreso por ventas.</w:t>
            </w:r>
          </w:p>
        </w:tc>
      </w:tr>
    </w:tbl>
    <w:p>
      <w:pPr>
        <w:spacing w:after="80"/>
      </w:pPr>
    </w:p>
    <w:p>
      <w:pPr>
        <w:pStyle w:val="ListParagraph"/>
        <w:numPr>
          <w:ilvl w:val="0"/>
          <w:numId w:val="2"/>
        </w:numPr>
        <w:spacing w:after="70" w:line="264"/>
      </w:pPr>
      <w:r>
        <w:rPr>
          <w:rFonts w:ascii="Calibri" w:cs="Calibri" w:eastAsia="Calibri" w:hAnsi="Calibri"/>
          <w:b/>
          <w:bCs/>
          <w:color w:val="20262E"/>
          <w:sz w:val="21"/>
          <w:szCs w:val="21"/>
        </w:rPr>
        <w:t xml:space="preserve">Filtro por estado: </w:t>
      </w:r>
      <w:r>
        <w:rPr>
          <w:rFonts w:ascii="Calibri" w:cs="Calibri" w:eastAsia="Calibri" w:hAnsi="Calibri"/>
          <w:b w:val="false"/>
          <w:bCs w:val="false"/>
          <w:color w:val="20262E"/>
          <w:sz w:val="21"/>
          <w:szCs w:val="21"/>
        </w:rPr>
        <w:t xml:space="preserve">la nómina de movimientos se filtra por estado con un clic.</w:t>
      </w:r>
    </w:p>
    <w:p>
      <w:pPr>
        <w:pStyle w:val="ListParagraph"/>
        <w:numPr>
          <w:ilvl w:val="0"/>
          <w:numId w:val="2"/>
        </w:numPr>
        <w:spacing w:after="70" w:line="264"/>
      </w:pPr>
      <w:r>
        <w:rPr>
          <w:rFonts w:ascii="Calibri" w:cs="Calibri" w:eastAsia="Calibri" w:hAnsi="Calibri"/>
          <w:b/>
          <w:bCs/>
          <w:color w:val="20262E"/>
          <w:sz w:val="21"/>
          <w:szCs w:val="21"/>
        </w:rPr>
        <w:t xml:space="preserve">Confirmación en bloque: </w:t>
      </w:r>
      <w:r>
        <w:rPr>
          <w:rFonts w:ascii="Calibri" w:cs="Calibri" w:eastAsia="Calibri" w:hAnsi="Calibri"/>
          <w:b w:val="false"/>
          <w:bCs w:val="false"/>
          <w:color w:val="20262E"/>
          <w:sz w:val="21"/>
          <w:szCs w:val="21"/>
        </w:rPr>
        <w:t xml:space="preserve">los cruces sugeridos pueden confirmarse en conjunto.</w:t>
      </w:r>
    </w:p>
    <w:p>
      <w:pPr>
        <w:pStyle w:val="ListParagraph"/>
        <w:numPr>
          <w:ilvl w:val="0"/>
          <w:numId w:val="2"/>
        </w:numPr>
        <w:spacing w:after="70" w:line="264"/>
      </w:pPr>
      <w:r>
        <w:rPr>
          <w:rFonts w:ascii="Calibri" w:cs="Calibri" w:eastAsia="Calibri" w:hAnsi="Calibri"/>
          <w:b/>
          <w:bCs/>
          <w:color w:val="20262E"/>
          <w:sz w:val="21"/>
          <w:szCs w:val="21"/>
        </w:rPr>
        <w:t xml:space="preserve">Trazabilidad: </w:t>
      </w:r>
      <w:r>
        <w:rPr>
          <w:rFonts w:ascii="Calibri" w:cs="Calibri" w:eastAsia="Calibri" w:hAnsi="Calibri"/>
          <w:b w:val="false"/>
          <w:bCs w:val="false"/>
          <w:color w:val="20262E"/>
          <w:sz w:val="21"/>
          <w:szCs w:val="21"/>
        </w:rPr>
        <w:t xml:space="preserve">cada movimiento indica con qué comprobante se cruzó y el motivo por el que quedó pendiente o descartado.</w:t>
      </w:r>
    </w:p>
    <w:p>
      <w:pPr>
        <w:pStyle w:val="Heading1"/>
        <w:pBdr>
          <w:bottom w:val="single" w:color="0F6DF0" w:sz="10" w:space="6"/>
        </w:pBdr>
        <w:spacing w:after="180" w:before="340"/>
      </w:pPr>
      <w:r>
        <w:rPr>
          <w:rFonts w:ascii="Calibri" w:cs="Calibri" w:eastAsia="Calibri" w:hAnsi="Calibri"/>
          <w:b/>
          <w:bCs/>
          <w:color w:val="10192D"/>
          <w:sz w:val="30"/>
          <w:szCs w:val="30"/>
        </w:rPr>
        <w:t xml:space="preserve">6. Alertas y avisos</w:t>
      </w:r>
    </w:p>
    <w:p>
      <w:pPr>
        <w:spacing w:after="140" w:line="276"/>
      </w:pPr>
      <w:r>
        <w:rPr>
          <w:rFonts w:ascii="Calibri" w:cs="Calibri" w:eastAsia="Calibri" w:hAnsi="Calibri"/>
          <w:color w:val="20262E"/>
          <w:sz w:val="21"/>
          <w:szCs w:val="21"/>
        </w:rPr>
        <w:t xml:space="preserve">El servicio evalúa permanentemente la cartera y genera alertas sobre las situaciones que requieren una acción del profesional. Las alertas se muestran en el panel, en la ficha de cada contribuyente y en un centro de alertas unificado.</w:t>
      </w:r>
    </w:p>
    <w:p>
      <w:pPr>
        <w:pStyle w:val="Heading2"/>
        <w:spacing w:after="110" w:before="260"/>
      </w:pPr>
      <w:r>
        <w:rPr>
          <w:rFonts w:ascii="Calibri" w:cs="Calibri" w:eastAsia="Calibri" w:hAnsi="Calibri"/>
          <w:b/>
          <w:bCs/>
          <w:color w:val="0F6DF0"/>
          <w:sz w:val="24"/>
          <w:szCs w:val="24"/>
        </w:rPr>
        <w:t xml:space="preserve">6.1. Tipos de alerta</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gridCol w:w="1800"/>
      </w:tblGrid>
      <w:tr>
        <w:trPr>
          <w:tblHeader/>
        </w:trPr>
        <w:tc>
          <w:tcPr>
            <w:tcW w:type="dxa" w:w="1900"/>
            <w:tcBorders>
              <w:top w:val="single" w:color="D8DEE7" w:sz="4"/>
              <w:left w:val="single" w:color="D8DEE7" w:sz="4"/>
              <w:bottom w:val="single" w:color="D8DEE7" w:sz="4"/>
              <w:right w:val="single" w:color="D8DEE7" w:sz="4"/>
            </w:tcBorders>
            <w:shd w:fill="0F6DF0" w:color="auto" w:val="clear"/>
            <w:tcMar>
              <w:top w:type="dxa" w:w="90"/>
              <w:left w:type="dxa" w:w="130"/>
              <w:bottom w:type="dxa" w:w="90"/>
              <w:right w:type="dxa" w:w="130"/>
            </w:tcMar>
          </w:tcPr>
          <w:p>
            <w:pPr>
              <w:spacing w:after="0" w:line="250"/>
            </w:pPr>
            <w:r>
              <w:rPr>
                <w:rFonts w:ascii="Calibri" w:cs="Calibri" w:eastAsia="Calibri" w:hAnsi="Calibri"/>
                <w:b/>
                <w:bCs/>
                <w:color w:val="FFFFFF"/>
                <w:sz w:val="19"/>
                <w:szCs w:val="19"/>
              </w:rPr>
              <w:t xml:space="preserve">Tipo</w:t>
            </w:r>
          </w:p>
        </w:tc>
        <w:tc>
          <w:tcPr>
            <w:tcW w:type="dxa" w:w="5300"/>
            <w:tcBorders>
              <w:top w:val="single" w:color="D8DEE7" w:sz="4"/>
              <w:left w:val="single" w:color="D8DEE7" w:sz="4"/>
              <w:bottom w:val="single" w:color="D8DEE7" w:sz="4"/>
              <w:right w:val="single" w:color="D8DEE7" w:sz="4"/>
            </w:tcBorders>
            <w:shd w:fill="0F6DF0" w:color="auto" w:val="clear"/>
            <w:tcMar>
              <w:top w:type="dxa" w:w="90"/>
              <w:left w:type="dxa" w:w="130"/>
              <w:bottom w:type="dxa" w:w="90"/>
              <w:right w:type="dxa" w:w="130"/>
            </w:tcMar>
          </w:tcPr>
          <w:p>
            <w:pPr>
              <w:spacing w:after="0" w:line="250"/>
            </w:pPr>
            <w:r>
              <w:rPr>
                <w:rFonts w:ascii="Calibri" w:cs="Calibri" w:eastAsia="Calibri" w:hAnsi="Calibri"/>
                <w:b/>
                <w:bCs/>
                <w:color w:val="FFFFFF"/>
                <w:sz w:val="19"/>
                <w:szCs w:val="19"/>
              </w:rPr>
              <w:t xml:space="preserve">Situación detectada</w:t>
            </w:r>
          </w:p>
        </w:tc>
        <w:tc>
          <w:tcPr>
            <w:tcW w:type="dxa" w:w="1800"/>
            <w:tcBorders>
              <w:top w:val="single" w:color="D8DEE7" w:sz="4"/>
              <w:left w:val="single" w:color="D8DEE7" w:sz="4"/>
              <w:bottom w:val="single" w:color="D8DEE7" w:sz="4"/>
              <w:right w:val="single" w:color="D8DEE7" w:sz="4"/>
            </w:tcBorders>
            <w:shd w:fill="0F6DF0" w:color="auto" w:val="clear"/>
            <w:tcMar>
              <w:top w:type="dxa" w:w="90"/>
              <w:left w:type="dxa" w:w="130"/>
              <w:bottom w:type="dxa" w:w="90"/>
              <w:right w:type="dxa" w:w="130"/>
            </w:tcMar>
          </w:tcPr>
          <w:p>
            <w:pPr>
              <w:spacing w:after="0" w:line="250"/>
            </w:pPr>
            <w:r>
              <w:rPr>
                <w:rFonts w:ascii="Calibri" w:cs="Calibri" w:eastAsia="Calibri" w:hAnsi="Calibri"/>
                <w:b/>
                <w:bCs/>
                <w:color w:val="FFFFFF"/>
                <w:sz w:val="19"/>
                <w:szCs w:val="19"/>
              </w:rPr>
              <w:t xml:space="preserve">Nivel</w:t>
            </w:r>
          </w:p>
        </w:tc>
      </w:tr>
      <w:tr>
        <w:tc>
          <w:tcPr>
            <w:tcW w:type="dxa" w:w="19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Tope de facturación</w:t>
            </w:r>
          </w:p>
        </w:tc>
        <w:tc>
          <w:tcPr>
            <w:tcW w:type="dxa" w:w="53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El contribuyente superó el tope de su categoría, se aproxima al límite configurado, o al ritmo actual lo superaría antes del cierre del período.</w:t>
            </w:r>
          </w:p>
        </w:tc>
        <w:tc>
          <w:tcPr>
            <w:tcW w:type="dxa" w:w="18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Urgente / Aviso</w:t>
            </w:r>
          </w:p>
        </w:tc>
      </w:tr>
      <w:tr>
        <w:tc>
          <w:tcPr>
            <w:tcW w:type="dxa" w:w="19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Recategorización</w:t>
            </w:r>
          </w:p>
        </w:tc>
        <w:tc>
          <w:tcPr>
            <w:tcW w:type="dxa" w:w="53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Por su facturación le corresponde una categoría distinta de la que tiene declarada.</w:t>
            </w:r>
          </w:p>
        </w:tc>
        <w:tc>
          <w:tcPr>
            <w:tcW w:type="dxa" w:w="18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Aviso</w:t>
            </w:r>
          </w:p>
        </w:tc>
      </w:tr>
      <w:tr>
        <w:tc>
          <w:tcPr>
            <w:tcW w:type="dxa" w:w="19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Ventana de recategorización</w:t>
            </w:r>
          </w:p>
        </w:tc>
        <w:tc>
          <w:tcPr>
            <w:tcW w:type="dxa" w:w="53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Se aproxima o está por cerrar la instancia de recategorización, en los casos en que efectivamente corresponde recategorizar.</w:t>
            </w:r>
          </w:p>
        </w:tc>
        <w:tc>
          <w:tcPr>
            <w:tcW w:type="dxa" w:w="18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Urgente / Aviso</w:t>
            </w:r>
          </w:p>
        </w:tc>
      </w:tr>
      <w:tr>
        <w:tc>
          <w:tcPr>
            <w:tcW w:type="dxa" w:w="19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Exclusión por gastos</w:t>
            </w:r>
          </w:p>
        </w:tc>
        <w:tc>
          <w:tcPr>
            <w:tcW w:type="dxa" w:w="53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Las compras del contribuyente superan el parámetro legal de referencia o se aproximan al límite configurado.</w:t>
            </w:r>
          </w:p>
        </w:tc>
        <w:tc>
          <w:tcPr>
            <w:tcW w:type="dxa" w:w="18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Urgente / Aviso</w:t>
            </w:r>
          </w:p>
        </w:tc>
      </w:tr>
      <w:tr>
        <w:tc>
          <w:tcPr>
            <w:tcW w:type="dxa" w:w="19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Cuota impaga</w:t>
            </w:r>
          </w:p>
        </w:tc>
        <w:tc>
          <w:tcPr>
            <w:tcW w:type="dxa" w:w="53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La cuota del período registra deuda, sea total o parcial.</w:t>
            </w:r>
          </w:p>
        </w:tc>
        <w:tc>
          <w:tcPr>
            <w:tcW w:type="dxa" w:w="18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Aviso</w:t>
            </w:r>
          </w:p>
        </w:tc>
      </w:tr>
      <w:tr>
        <w:tc>
          <w:tcPr>
            <w:tcW w:type="dxa" w:w="19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Deuda crónica</w:t>
            </w:r>
          </w:p>
        </w:tc>
        <w:tc>
          <w:tcPr>
            <w:tcW w:type="dxa" w:w="53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El contribuyente acumula más meses consecutivos de cuota impaga que el límite configurado por el estudio.</w:t>
            </w:r>
          </w:p>
        </w:tc>
        <w:tc>
          <w:tcPr>
            <w:tcW w:type="dxa" w:w="18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Urgente</w:t>
            </w:r>
          </w:p>
        </w:tc>
      </w:tr>
      <w:tr>
        <w:tc>
          <w:tcPr>
            <w:tcW w:type="dxa" w:w="19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Información pendiente</w:t>
            </w:r>
          </w:p>
        </w:tc>
        <w:tc>
          <w:tcPr>
            <w:tcW w:type="dxa" w:w="53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La información del contribuyente no pudo mantenerse al día y requiere una gestión (habitualmente, la actualización de su clave fiscal).</w:t>
            </w:r>
          </w:p>
        </w:tc>
        <w:tc>
          <w:tcPr>
            <w:tcW w:type="dxa" w:w="18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Datos</w:t>
            </w:r>
          </w:p>
        </w:tc>
      </w:tr>
    </w:tbl>
    <w:p>
      <w:pPr>
        <w:pStyle w:val="Heading2"/>
        <w:spacing w:after="110" w:before="260"/>
      </w:pPr>
      <w:r>
        <w:rPr>
          <w:rFonts w:ascii="Calibri" w:cs="Calibri" w:eastAsia="Calibri" w:hAnsi="Calibri"/>
          <w:b/>
          <w:bCs/>
          <w:color w:val="0F6DF0"/>
          <w:sz w:val="24"/>
          <w:szCs w:val="24"/>
        </w:rPr>
        <w:t xml:space="preserve">6.2. Centro de alertas</w:t>
      </w:r>
    </w:p>
    <w:p>
      <w:pPr>
        <w:spacing w:after="140" w:line="276"/>
      </w:pPr>
      <w:r>
        <w:rPr>
          <w:rFonts w:ascii="Calibri" w:cs="Calibri" w:eastAsia="Calibri" w:hAnsi="Calibri"/>
          <w:color w:val="20262E"/>
          <w:sz w:val="21"/>
          <w:szCs w:val="21"/>
        </w:rPr>
        <w:t xml:space="preserve">Vista transversal a toda la cartera que reúne las alertas vigentes ordenadas por criticidad, con acceso directo a la ficha del contribuyente correspondiente.</w:t>
      </w:r>
    </w:p>
    <w:p>
      <w:pPr>
        <w:pStyle w:val="Heading2"/>
        <w:spacing w:after="110" w:before="260"/>
      </w:pPr>
      <w:r>
        <w:rPr>
          <w:rFonts w:ascii="Calibri" w:cs="Calibri" w:eastAsia="Calibri" w:hAnsi="Calibri"/>
          <w:b/>
          <w:bCs/>
          <w:color w:val="0F6DF0"/>
          <w:sz w:val="24"/>
          <w:szCs w:val="24"/>
        </w:rPr>
        <w:t xml:space="preserve">6.3. Notificación por WhatsApp</w:t>
      </w:r>
    </w:p>
    <w:p>
      <w:pPr>
        <w:spacing w:after="140" w:line="276"/>
      </w:pPr>
      <w:r>
        <w:rPr>
          <w:rFonts w:ascii="Calibri" w:cs="Calibri" w:eastAsia="Calibri" w:hAnsi="Calibri"/>
          <w:color w:val="20262E"/>
          <w:sz w:val="21"/>
          <w:szCs w:val="21"/>
        </w:rPr>
        <w:t xml:space="preserve">El estudio puede recibir por WhatsApp los avisos de la cartera. La plataforma notifica únicamente las situaciones nuevas: una alerta ya comunicada no se reitera mientras permanezca vigente. El canal, el destinatario y los tipos de alerta a notificar se configuran desde el propio servicio.</w:t>
      </w:r>
    </w:p>
    <w:p>
      <w:r>
        <w:br w:type="page"/>
      </w:r>
    </w:p>
    <w:p>
      <w:pPr>
        <w:pStyle w:val="Heading1"/>
        <w:pBdr>
          <w:bottom w:val="single" w:color="0F6DF0" w:sz="10" w:space="6"/>
        </w:pBdr>
        <w:spacing w:after="180" w:before="340"/>
      </w:pPr>
      <w:r>
        <w:rPr>
          <w:rFonts w:ascii="Calibri" w:cs="Calibri" w:eastAsia="Calibri" w:hAnsi="Calibri"/>
          <w:b/>
          <w:bCs/>
          <w:color w:val="10192D"/>
          <w:sz w:val="30"/>
          <w:szCs w:val="30"/>
        </w:rPr>
        <w:t xml:space="preserve">7. Recordatorios de vencimiento a los contribuyentes</w:t>
      </w:r>
    </w:p>
    <w:p>
      <w:pPr>
        <w:spacing w:after="140" w:line="276"/>
      </w:pPr>
      <w:r>
        <w:rPr>
          <w:rFonts w:ascii="Calibri" w:cs="Calibri" w:eastAsia="Calibri" w:hAnsi="Calibri"/>
          <w:color w:val="20262E"/>
          <w:sz w:val="21"/>
          <w:szCs w:val="21"/>
        </w:rPr>
        <w:t xml:space="preserve">Servicio de envío automático de recordatorios por correo electrónico a los contribuyentes de la cartera, a principio de cada mes, con la fecha de su próximo vencimiento y el importe a abonar cuando se encuentra disponible. El envío se realiza en nombre del estudio.</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0"/>
      </w:tblGrid>
      <w:tr>
        <w:trPr>
          <w:tblHeader/>
        </w:trPr>
        <w:tc>
          <w:tcPr>
            <w:tcW w:type="dxa" w:w="2100"/>
            <w:tcBorders>
              <w:top w:val="single" w:color="D8DEE7" w:sz="4"/>
              <w:left w:val="single" w:color="D8DEE7" w:sz="4"/>
              <w:bottom w:val="single" w:color="D8DEE7" w:sz="4"/>
              <w:right w:val="single" w:color="D8DEE7" w:sz="4"/>
            </w:tcBorders>
            <w:shd w:fill="0F6DF0" w:color="auto" w:val="clear"/>
            <w:tcMar>
              <w:top w:type="dxa" w:w="90"/>
              <w:left w:type="dxa" w:w="130"/>
              <w:bottom w:type="dxa" w:w="90"/>
              <w:right w:type="dxa" w:w="130"/>
            </w:tcMar>
          </w:tcPr>
          <w:p>
            <w:pPr>
              <w:spacing w:after="0" w:line="250"/>
            </w:pPr>
            <w:r>
              <w:rPr>
                <w:rFonts w:ascii="Calibri" w:cs="Calibri" w:eastAsia="Calibri" w:hAnsi="Calibri"/>
                <w:b/>
                <w:bCs/>
                <w:color w:val="FFFFFF"/>
                <w:sz w:val="19"/>
                <w:szCs w:val="19"/>
              </w:rPr>
              <w:t xml:space="preserve">Prestación</w:t>
            </w:r>
          </w:p>
        </w:tc>
        <w:tc>
          <w:tcPr>
            <w:tcW w:type="dxa" w:w="6900"/>
            <w:tcBorders>
              <w:top w:val="single" w:color="D8DEE7" w:sz="4"/>
              <w:left w:val="single" w:color="D8DEE7" w:sz="4"/>
              <w:bottom w:val="single" w:color="D8DEE7" w:sz="4"/>
              <w:right w:val="single" w:color="D8DEE7" w:sz="4"/>
            </w:tcBorders>
            <w:shd w:fill="0F6DF0" w:color="auto" w:val="clear"/>
            <w:tcMar>
              <w:top w:type="dxa" w:w="90"/>
              <w:left w:type="dxa" w:w="130"/>
              <w:bottom w:type="dxa" w:w="90"/>
              <w:right w:type="dxa" w:w="130"/>
            </w:tcMar>
          </w:tcPr>
          <w:p>
            <w:pPr>
              <w:spacing w:after="0" w:line="250"/>
            </w:pPr>
            <w:r>
              <w:rPr>
                <w:rFonts w:ascii="Calibri" w:cs="Calibri" w:eastAsia="Calibri" w:hAnsi="Calibri"/>
                <w:b/>
                <w:bCs/>
                <w:color w:val="FFFFFF"/>
                <w:sz w:val="19"/>
                <w:szCs w:val="19"/>
              </w:rPr>
              <w:t xml:space="preserve">Detalle</w:t>
            </w:r>
          </w:p>
        </w:tc>
      </w:tr>
      <w:tr>
        <w:tc>
          <w:tcPr>
            <w:tcW w:type="dxa" w:w="21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Activación</w:t>
            </w:r>
          </w:p>
        </w:tc>
        <w:tc>
          <w:tcPr>
            <w:tcW w:type="dxa" w:w="69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El estudio habilita el servicio una única vez desde la configuración; el envío mensual es automático a partir de entonces.</w:t>
            </w:r>
          </w:p>
        </w:tc>
      </w:tr>
      <w:tr>
        <w:tc>
          <w:tcPr>
            <w:tcW w:type="dxa" w:w="21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Carga de contactos</w:t>
            </w:r>
          </w:p>
        </w:tc>
        <w:tc>
          <w:tcPr>
            <w:tcW w:type="dxa" w:w="69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El correo electrónico de cada contribuyente puede cargarse individualmente en su ficha o en forma masiva, descargando una planilla con la cartera, completándola y volviéndola a subir.</w:t>
            </w:r>
          </w:p>
        </w:tc>
      </w:tr>
      <w:tr>
        <w:tc>
          <w:tcPr>
            <w:tcW w:type="dxa" w:w="21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Previsualización</w:t>
            </w:r>
          </w:p>
        </w:tc>
        <w:tc>
          <w:tcPr>
            <w:tcW w:type="dxa" w:w="69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Antes de cada envío, el estudio consulta la nómina de contribuyentes a los que corresponde el recordatorio del mes.</w:t>
            </w:r>
          </w:p>
        </w:tc>
      </w:tr>
      <w:tr>
        <w:tc>
          <w:tcPr>
            <w:tcW w:type="dxa" w:w="21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Exclusión individual</w:t>
            </w:r>
          </w:p>
        </w:tc>
        <w:tc>
          <w:tcPr>
            <w:tcW w:type="dxa" w:w="69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Cada contribuyente puede excluirse del envío mediante un interruptor propio.</w:t>
            </w:r>
          </w:p>
        </w:tc>
      </w:tr>
      <w:tr>
        <w:tc>
          <w:tcPr>
            <w:tcW w:type="dxa" w:w="21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Envío de prueba</w:t>
            </w:r>
          </w:p>
        </w:tc>
        <w:tc>
          <w:tcPr>
            <w:tcW w:type="dxa" w:w="69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El estudio puede enviarse a sí mismo un recordatorio de prueba para verificar su contenido antes de la puesta en marcha.</w:t>
            </w:r>
          </w:p>
        </w:tc>
      </w:tr>
    </w:tbl>
    <w:p>
      <w:pPr>
        <w:pStyle w:val="Heading1"/>
        <w:pBdr>
          <w:bottom w:val="single" w:color="0F6DF0" w:sz="10" w:space="6"/>
        </w:pBdr>
        <w:spacing w:after="180" w:before="340"/>
      </w:pPr>
      <w:r>
        <w:rPr>
          <w:rFonts w:ascii="Calibri" w:cs="Calibri" w:eastAsia="Calibri" w:hAnsi="Calibri"/>
          <w:b/>
          <w:bCs/>
          <w:color w:val="10192D"/>
          <w:sz w:val="30"/>
          <w:szCs w:val="30"/>
        </w:rPr>
        <w:t xml:space="preserve">8. Reporte del contribuyente</w:t>
      </w:r>
    </w:p>
    <w:p>
      <w:pPr>
        <w:spacing w:after="140" w:line="276"/>
      </w:pPr>
      <w:r>
        <w:rPr>
          <w:rFonts w:ascii="Calibri" w:cs="Calibri" w:eastAsia="Calibri" w:hAnsi="Calibri"/>
          <w:color w:val="20262E"/>
          <w:sz w:val="21"/>
          <w:szCs w:val="21"/>
        </w:rPr>
        <w:t xml:space="preserve">Papel de trabajo imprimible por contribuyente, apto para archivo, respaldo del asesoramiento o entrega al cliente.</w:t>
      </w:r>
    </w:p>
    <w:p>
      <w:pPr>
        <w:pStyle w:val="ListParagraph"/>
        <w:numPr>
          <w:ilvl w:val="0"/>
          <w:numId w:val="2"/>
        </w:numPr>
        <w:spacing w:after="70" w:line="264"/>
      </w:pPr>
      <w:r>
        <w:rPr>
          <w:rFonts w:ascii="Calibri" w:cs="Calibri" w:eastAsia="Calibri" w:hAnsi="Calibri"/>
          <w:b/>
          <w:bCs/>
          <w:color w:val="20262E"/>
          <w:sz w:val="21"/>
          <w:szCs w:val="21"/>
        </w:rPr>
        <w:t xml:space="preserve">Secciones seleccionables: </w:t>
      </w:r>
      <w:r>
        <w:rPr>
          <w:rFonts w:ascii="Calibri" w:cs="Calibri" w:eastAsia="Calibri" w:hAnsi="Calibri"/>
          <w:b w:val="false"/>
          <w:bCs w:val="false"/>
          <w:color w:val="20262E"/>
          <w:sz w:val="21"/>
          <w:szCs w:val="21"/>
        </w:rPr>
        <w:t xml:space="preserve">situación impositiva, historial de facturación, alertas vigentes, movimientos pendientes de conciliación y acciones sugeridas.</w:t>
      </w:r>
    </w:p>
    <w:p>
      <w:pPr>
        <w:pStyle w:val="ListParagraph"/>
        <w:numPr>
          <w:ilvl w:val="0"/>
          <w:numId w:val="2"/>
        </w:numPr>
        <w:spacing w:after="70" w:line="264"/>
      </w:pPr>
      <w:r>
        <w:rPr>
          <w:rFonts w:ascii="Calibri" w:cs="Calibri" w:eastAsia="Calibri" w:hAnsi="Calibri"/>
          <w:b/>
          <w:bCs/>
          <w:color w:val="20262E"/>
          <w:sz w:val="21"/>
          <w:szCs w:val="21"/>
        </w:rPr>
        <w:t xml:space="preserve">Extensión del historial: </w:t>
      </w:r>
      <w:r>
        <w:rPr>
          <w:rFonts w:ascii="Calibri" w:cs="Calibri" w:eastAsia="Calibri" w:hAnsi="Calibri"/>
          <w:b w:val="false"/>
          <w:bCs w:val="false"/>
          <w:color w:val="20262E"/>
          <w:sz w:val="21"/>
          <w:szCs w:val="21"/>
        </w:rPr>
        <w:t xml:space="preserve">el profesional define cuántos meses de historial incluir.</w:t>
      </w:r>
    </w:p>
    <w:p>
      <w:pPr>
        <w:pStyle w:val="ListParagraph"/>
        <w:numPr>
          <w:ilvl w:val="0"/>
          <w:numId w:val="2"/>
        </w:numPr>
        <w:spacing w:after="70" w:line="264"/>
      </w:pPr>
      <w:r>
        <w:rPr>
          <w:rFonts w:ascii="Calibri" w:cs="Calibri" w:eastAsia="Calibri" w:hAnsi="Calibri"/>
          <w:b/>
          <w:bCs/>
          <w:color w:val="20262E"/>
          <w:sz w:val="21"/>
          <w:szCs w:val="21"/>
        </w:rPr>
        <w:t xml:space="preserve">Observaciones propias: </w:t>
      </w:r>
      <w:r>
        <w:rPr>
          <w:rFonts w:ascii="Calibri" w:cs="Calibri" w:eastAsia="Calibri" w:hAnsi="Calibri"/>
          <w:b w:val="false"/>
          <w:bCs w:val="false"/>
          <w:color w:val="20262E"/>
          <w:sz w:val="21"/>
          <w:szCs w:val="21"/>
        </w:rPr>
        <w:t xml:space="preserve">campo de texto libre que se imprime destacado al inicio del reporte, para dejar constancia de comentarios del profesional.</w:t>
      </w:r>
    </w:p>
    <w:p>
      <w:pPr>
        <w:pStyle w:val="ListParagraph"/>
        <w:numPr>
          <w:ilvl w:val="0"/>
          <w:numId w:val="2"/>
        </w:numPr>
        <w:spacing w:after="70" w:line="264"/>
      </w:pPr>
      <w:r>
        <w:rPr>
          <w:rFonts w:ascii="Calibri" w:cs="Calibri" w:eastAsia="Calibri" w:hAnsi="Calibri"/>
          <w:b/>
          <w:bCs/>
          <w:color w:val="20262E"/>
          <w:sz w:val="21"/>
          <w:szCs w:val="21"/>
        </w:rPr>
        <w:t xml:space="preserve">Preferencias persistentes: </w:t>
      </w:r>
      <w:r>
        <w:rPr>
          <w:rFonts w:ascii="Calibri" w:cs="Calibri" w:eastAsia="Calibri" w:hAnsi="Calibri"/>
          <w:b w:val="false"/>
          <w:bCs w:val="false"/>
          <w:color w:val="20262E"/>
          <w:sz w:val="21"/>
          <w:szCs w:val="21"/>
        </w:rPr>
        <w:t xml:space="preserve">la configuración elegida se conserva para los reportes siguientes.</w:t>
      </w:r>
    </w:p>
    <w:p>
      <w:pPr>
        <w:pStyle w:val="ListParagraph"/>
        <w:numPr>
          <w:ilvl w:val="0"/>
          <w:numId w:val="2"/>
        </w:numPr>
        <w:spacing w:after="70" w:line="264"/>
      </w:pPr>
      <w:r>
        <w:rPr>
          <w:rFonts w:ascii="Calibri" w:cs="Calibri" w:eastAsia="Calibri" w:hAnsi="Calibri"/>
          <w:b/>
          <w:bCs/>
          <w:color w:val="20262E"/>
          <w:sz w:val="21"/>
          <w:szCs w:val="21"/>
        </w:rPr>
        <w:t xml:space="preserve">Salida: </w:t>
      </w:r>
      <w:r>
        <w:rPr>
          <w:rFonts w:ascii="Calibri" w:cs="Calibri" w:eastAsia="Calibri" w:hAnsi="Calibri"/>
          <w:b w:val="false"/>
          <w:bCs w:val="false"/>
          <w:color w:val="20262E"/>
          <w:sz w:val="21"/>
          <w:szCs w:val="21"/>
        </w:rPr>
        <w:t xml:space="preserve">impresión directa o guardado en PDF; exportación de la información a planilla de cálculo.</w:t>
      </w:r>
    </w:p>
    <w:p>
      <w:pPr>
        <w:pStyle w:val="Heading1"/>
        <w:pBdr>
          <w:bottom w:val="single" w:color="0F6DF0" w:sz="10" w:space="6"/>
        </w:pBdr>
        <w:spacing w:after="180" w:before="340"/>
      </w:pPr>
      <w:r>
        <w:rPr>
          <w:rFonts w:ascii="Calibri" w:cs="Calibri" w:eastAsia="Calibri" w:hAnsi="Calibri"/>
          <w:b/>
          <w:bCs/>
          <w:color w:val="10192D"/>
          <w:sz w:val="30"/>
          <w:szCs w:val="30"/>
        </w:rPr>
        <w:t xml:space="preserve">9. Alta y administración de contribuyentes</w:t>
      </w:r>
    </w:p>
    <w:p>
      <w:pPr>
        <w:pStyle w:val="ListParagraph"/>
        <w:numPr>
          <w:ilvl w:val="0"/>
          <w:numId w:val="2"/>
        </w:numPr>
        <w:spacing w:after="70" w:line="264"/>
      </w:pPr>
      <w:r>
        <w:rPr>
          <w:rFonts w:ascii="Calibri" w:cs="Calibri" w:eastAsia="Calibri" w:hAnsi="Calibri"/>
          <w:b/>
          <w:bCs/>
          <w:color w:val="20262E"/>
          <w:sz w:val="21"/>
          <w:szCs w:val="21"/>
        </w:rPr>
        <w:t xml:space="preserve">Alta directa: </w:t>
      </w:r>
      <w:r>
        <w:rPr>
          <w:rFonts w:ascii="Calibri" w:cs="Calibri" w:eastAsia="Calibri" w:hAnsi="Calibri"/>
          <w:b w:val="false"/>
          <w:bCs w:val="false"/>
          <w:color w:val="20262E"/>
          <w:sz w:val="21"/>
          <w:szCs w:val="21"/>
        </w:rPr>
        <w:t xml:space="preserve">el alta se realiza cargando la identificación tributaria y la clave fiscal del contribuyente, provistas por éste.</w:t>
      </w:r>
    </w:p>
    <w:p>
      <w:pPr>
        <w:pStyle w:val="ListParagraph"/>
        <w:numPr>
          <w:ilvl w:val="0"/>
          <w:numId w:val="2"/>
        </w:numPr>
        <w:spacing w:after="70" w:line="264"/>
      </w:pPr>
      <w:r>
        <w:rPr>
          <w:rFonts w:ascii="Calibri" w:cs="Calibri" w:eastAsia="Calibri" w:hAnsi="Calibri"/>
          <w:b/>
          <w:bCs/>
          <w:color w:val="20262E"/>
          <w:sz w:val="21"/>
          <w:szCs w:val="21"/>
        </w:rPr>
        <w:t xml:space="preserve">Proceso en segundo plano: </w:t>
      </w:r>
      <w:r>
        <w:rPr>
          <w:rFonts w:ascii="Calibri" w:cs="Calibri" w:eastAsia="Calibri" w:hAnsi="Calibri"/>
          <w:b w:val="false"/>
          <w:bCs w:val="false"/>
          <w:color w:val="20262E"/>
          <w:sz w:val="21"/>
          <w:szCs w:val="21"/>
        </w:rPr>
        <w:t xml:space="preserve">el alta no bloquea la pantalla: el estudio continúa operando y puede iniciar el alta del contribuyente siguiente mientras la anterior se completa.</w:t>
      </w:r>
    </w:p>
    <w:p>
      <w:pPr>
        <w:pStyle w:val="ListParagraph"/>
        <w:numPr>
          <w:ilvl w:val="0"/>
          <w:numId w:val="2"/>
        </w:numPr>
        <w:spacing w:after="70" w:line="264"/>
      </w:pPr>
      <w:r>
        <w:rPr>
          <w:rFonts w:ascii="Calibri" w:cs="Calibri" w:eastAsia="Calibri" w:hAnsi="Calibri"/>
          <w:b/>
          <w:bCs/>
          <w:color w:val="20262E"/>
          <w:sz w:val="21"/>
          <w:szCs w:val="21"/>
        </w:rPr>
        <w:t xml:space="preserve">Seguimiento del avance: </w:t>
      </w:r>
      <w:r>
        <w:rPr>
          <w:rFonts w:ascii="Calibri" w:cs="Calibri" w:eastAsia="Calibri" w:hAnsi="Calibri"/>
          <w:b w:val="false"/>
          <w:bCs w:val="false"/>
          <w:color w:val="20262E"/>
          <w:sz w:val="21"/>
          <w:szCs w:val="21"/>
        </w:rPr>
        <w:t xml:space="preserve">el contribuyente en proceso de alta se muestra en la cartera con una barra que indica la etapa en curso, y queda disponible con todos sus datos apenas finaliza.</w:t>
      </w:r>
    </w:p>
    <w:p>
      <w:pPr>
        <w:pStyle w:val="ListParagraph"/>
        <w:numPr>
          <w:ilvl w:val="0"/>
          <w:numId w:val="2"/>
        </w:numPr>
        <w:spacing w:after="70" w:line="264"/>
      </w:pPr>
      <w:r>
        <w:rPr>
          <w:rFonts w:ascii="Calibri" w:cs="Calibri" w:eastAsia="Calibri" w:hAnsi="Calibri"/>
          <w:b/>
          <w:bCs/>
          <w:color w:val="20262E"/>
          <w:sz w:val="21"/>
          <w:szCs w:val="21"/>
        </w:rPr>
        <w:t xml:space="preserve">Cancelación: </w:t>
      </w:r>
      <w:r>
        <w:rPr>
          <w:rFonts w:ascii="Calibri" w:cs="Calibri" w:eastAsia="Calibri" w:hAnsi="Calibri"/>
          <w:b w:val="false"/>
          <w:bCs w:val="false"/>
          <w:color w:val="20262E"/>
          <w:sz w:val="21"/>
          <w:szCs w:val="21"/>
        </w:rPr>
        <w:t xml:space="preserve">un alta iniciada por error puede cancelarse y el contribuyente no queda incorporado a la cartera.</w:t>
      </w:r>
    </w:p>
    <w:p>
      <w:pPr>
        <w:pStyle w:val="ListParagraph"/>
        <w:numPr>
          <w:ilvl w:val="0"/>
          <w:numId w:val="2"/>
        </w:numPr>
        <w:spacing w:after="70" w:line="264"/>
      </w:pPr>
      <w:r>
        <w:rPr>
          <w:rFonts w:ascii="Calibri" w:cs="Calibri" w:eastAsia="Calibri" w:hAnsi="Calibri"/>
          <w:b/>
          <w:bCs/>
          <w:color w:val="20262E"/>
          <w:sz w:val="21"/>
          <w:szCs w:val="21"/>
        </w:rPr>
        <w:t xml:space="preserve">Contribuyentes representados: </w:t>
      </w:r>
      <w:r>
        <w:rPr>
          <w:rFonts w:ascii="Calibri" w:cs="Calibri" w:eastAsia="Calibri" w:hAnsi="Calibri"/>
          <w:b w:val="false"/>
          <w:bCs w:val="false"/>
          <w:color w:val="20262E"/>
          <w:sz w:val="21"/>
          <w:szCs w:val="21"/>
        </w:rPr>
        <w:t xml:space="preserve">si el contribuyente representa a otros sujetos (sociedades, familiares u otros), el estudio indica esa condición y selecciona a cuáles incorporar al seguimiento.</w:t>
      </w:r>
    </w:p>
    <w:p>
      <w:pPr>
        <w:pStyle w:val="ListParagraph"/>
        <w:numPr>
          <w:ilvl w:val="0"/>
          <w:numId w:val="2"/>
        </w:numPr>
        <w:spacing w:after="70" w:line="264"/>
      </w:pPr>
      <w:r>
        <w:rPr>
          <w:rFonts w:ascii="Calibri" w:cs="Calibri" w:eastAsia="Calibri" w:hAnsi="Calibri"/>
          <w:b/>
          <w:bCs/>
          <w:color w:val="20262E"/>
          <w:sz w:val="21"/>
          <w:szCs w:val="21"/>
        </w:rPr>
        <w:t xml:space="preserve">Condición agropecuaria: </w:t>
      </w:r>
      <w:r>
        <w:rPr>
          <w:rFonts w:ascii="Calibri" w:cs="Calibri" w:eastAsia="Calibri" w:hAnsi="Calibri"/>
          <w:b w:val="false"/>
          <w:bCs w:val="false"/>
          <w:color w:val="20262E"/>
          <w:sz w:val="21"/>
          <w:szCs w:val="21"/>
        </w:rPr>
        <w:t xml:space="preserve">puede indicarse al momento del alta; de no hacerlo, la plataforma la detecta con el tiempo.</w:t>
      </w:r>
    </w:p>
    <w:p>
      <w:pPr>
        <w:pStyle w:val="Heading1"/>
        <w:pBdr>
          <w:bottom w:val="single" w:color="0F6DF0" w:sz="10" w:space="6"/>
        </w:pBdr>
        <w:spacing w:after="180" w:before="340"/>
      </w:pPr>
      <w:r>
        <w:rPr>
          <w:rFonts w:ascii="Calibri" w:cs="Calibri" w:eastAsia="Calibri" w:hAnsi="Calibri"/>
          <w:b/>
          <w:bCs/>
          <w:color w:val="10192D"/>
          <w:sz w:val="30"/>
          <w:szCs w:val="30"/>
        </w:rPr>
        <w:t xml:space="preserve">10. Configuración del estudio</w:t>
      </w:r>
    </w:p>
    <w:p>
      <w:pPr>
        <w:spacing w:after="140" w:line="276"/>
      </w:pPr>
      <w:r>
        <w:rPr>
          <w:rFonts w:ascii="Calibri" w:cs="Calibri" w:eastAsia="Calibri" w:hAnsi="Calibri"/>
          <w:color w:val="20262E"/>
          <w:sz w:val="21"/>
          <w:szCs w:val="21"/>
        </w:rPr>
        <w:t xml:space="preserve">Los criterios de análisis y los umbrales de alerta son configurables por estudio y se aplican a toda su cartera. La configuración se conserva en la cuenta y está disponible desde cualquier dispositivo.</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tcBorders>
              <w:top w:val="single" w:color="D8DEE7" w:sz="4"/>
              <w:left w:val="single" w:color="D8DEE7" w:sz="4"/>
              <w:bottom w:val="single" w:color="D8DEE7" w:sz="4"/>
              <w:right w:val="single" w:color="D8DEE7" w:sz="4"/>
            </w:tcBorders>
            <w:shd w:fill="0F6DF0" w:color="auto" w:val="clear"/>
            <w:tcMar>
              <w:top w:type="dxa" w:w="90"/>
              <w:left w:type="dxa" w:w="130"/>
              <w:bottom w:type="dxa" w:w="90"/>
              <w:right w:type="dxa" w:w="130"/>
            </w:tcMar>
          </w:tcPr>
          <w:p>
            <w:pPr>
              <w:spacing w:after="0" w:line="250"/>
            </w:pPr>
            <w:r>
              <w:rPr>
                <w:rFonts w:ascii="Calibri" w:cs="Calibri" w:eastAsia="Calibri" w:hAnsi="Calibri"/>
                <w:b/>
                <w:bCs/>
                <w:color w:val="FFFFFF"/>
                <w:sz w:val="19"/>
                <w:szCs w:val="19"/>
              </w:rPr>
              <w:t xml:space="preserve">Sección</w:t>
            </w:r>
          </w:p>
        </w:tc>
        <w:tc>
          <w:tcPr>
            <w:tcW w:type="dxa" w:w="7200"/>
            <w:tcBorders>
              <w:top w:val="single" w:color="D8DEE7" w:sz="4"/>
              <w:left w:val="single" w:color="D8DEE7" w:sz="4"/>
              <w:bottom w:val="single" w:color="D8DEE7" w:sz="4"/>
              <w:right w:val="single" w:color="D8DEE7" w:sz="4"/>
            </w:tcBorders>
            <w:shd w:fill="0F6DF0" w:color="auto" w:val="clear"/>
            <w:tcMar>
              <w:top w:type="dxa" w:w="90"/>
              <w:left w:type="dxa" w:w="130"/>
              <w:bottom w:type="dxa" w:w="90"/>
              <w:right w:type="dxa" w:w="130"/>
            </w:tcMar>
          </w:tcPr>
          <w:p>
            <w:pPr>
              <w:spacing w:after="0" w:line="250"/>
            </w:pPr>
            <w:r>
              <w:rPr>
                <w:rFonts w:ascii="Calibri" w:cs="Calibri" w:eastAsia="Calibri" w:hAnsi="Calibri"/>
                <w:b/>
                <w:bCs/>
                <w:color w:val="FFFFFF"/>
                <w:sz w:val="19"/>
                <w:szCs w:val="19"/>
              </w:rPr>
              <w:t xml:space="preserve">Contenido</w:t>
            </w:r>
          </w:p>
        </w:tc>
      </w:tr>
      <w:tr>
        <w:tc>
          <w:tcPr>
            <w:tcW w:type="dxa" w:w="18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Ventanas</w:t>
            </w:r>
          </w:p>
        </w:tc>
        <w:tc>
          <w:tcPr>
            <w:tcW w:type="dxa" w:w="72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Definición del período de recategorización a evaluar (por semestre), que determina la facturación considerada y la categoría que corresponde en la ficha de cada contribuyente.</w:t>
            </w:r>
          </w:p>
        </w:tc>
      </w:tr>
      <w:tr>
        <w:tc>
          <w:tcPr>
            <w:tcW w:type="dxa" w:w="18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Alertas</w:t>
            </w:r>
          </w:p>
        </w:tc>
        <w:tc>
          <w:tcPr>
            <w:tcW w:type="dxa" w:w="72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Umbrales de cada tipo de alerta: porcentaje de tope a partir del cual avisar, proyección de cruce de tope, días de anticipación de la ventana de recategorización, ratio de gastos, tratamiento de la cuota impaga, cantidad de meses de deuda crónica y periodicidad del recordatorio, e inflación estimada a utilizar en las proyecciones.</w:t>
            </w:r>
          </w:p>
        </w:tc>
      </w:tr>
      <w:tr>
        <w:tc>
          <w:tcPr>
            <w:tcW w:type="dxa" w:w="18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WhatsApp</w:t>
            </w:r>
          </w:p>
        </w:tc>
        <w:tc>
          <w:tcPr>
            <w:tcW w:type="dxa" w:w="72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Configuración del canal de notificación al estudio y selección de los tipos de alerta a notificar.</w:t>
            </w:r>
          </w:p>
        </w:tc>
      </w:tr>
      <w:tr>
        <w:tc>
          <w:tcPr>
            <w:tcW w:type="dxa" w:w="18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Vencimientos</w:t>
            </w:r>
          </w:p>
        </w:tc>
        <w:tc>
          <w:tcPr>
            <w:tcW w:type="dxa" w:w="72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Activación del envío automático de recordatorios a los contribuyentes, previsualización de destinatarios del mes y exclusión individual.</w:t>
            </w:r>
          </w:p>
        </w:tc>
      </w:tr>
      <w:tr>
        <w:tc>
          <w:tcPr>
            <w:tcW w:type="dxa" w:w="18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Categorías</w:t>
            </w:r>
          </w:p>
        </w:tc>
        <w:tc>
          <w:tcPr>
            <w:tcW w:type="dxa" w:w="72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Consulta de la escala vigente del régimen simplificado: cuotas, topes de facturación, alquileres devengados y precio unitario máximo por categoría. Los montos se mantienen actualizados automáticamente conforme a la escala oficial vigente.</w:t>
            </w:r>
          </w:p>
        </w:tc>
      </w:tr>
      <w:tr>
        <w:tc>
          <w:tcPr>
            <w:tcW w:type="dxa" w:w="18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Causales</w:t>
            </w:r>
          </w:p>
        </w:tc>
        <w:tc>
          <w:tcPr>
            <w:tcW w:type="dxa" w:w="72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Consulta de las causales de exclusión del régimen simplificado, como material de referencia.</w:t>
            </w:r>
          </w:p>
        </w:tc>
      </w:tr>
      <w:tr>
        <w:tc>
          <w:tcPr>
            <w:tcW w:type="dxa" w:w="18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Cuenta</w:t>
            </w:r>
          </w:p>
        </w:tc>
        <w:tc>
          <w:tcPr>
            <w:tcW w:type="dxa" w:w="72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Datos del profesional y del estudio, y cambio de contraseña.</w:t>
            </w:r>
          </w:p>
        </w:tc>
      </w:tr>
    </w:tbl>
    <w:p>
      <w:r>
        <w:br w:type="page"/>
      </w:r>
    </w:p>
    <w:p>
      <w:pPr>
        <w:pStyle w:val="Heading1"/>
        <w:pBdr>
          <w:bottom w:val="single" w:color="0F6DF0" w:sz="10" w:space="6"/>
        </w:pBdr>
        <w:spacing w:after="180" w:before="340"/>
      </w:pPr>
      <w:r>
        <w:rPr>
          <w:rFonts w:ascii="Calibri" w:cs="Calibri" w:eastAsia="Calibri" w:hAnsi="Calibri"/>
          <w:b/>
          <w:bCs/>
          <w:color w:val="10192D"/>
          <w:sz w:val="30"/>
          <w:szCs w:val="30"/>
        </w:rPr>
        <w:t xml:space="preserve">11. Gestión de usuarios del estudio</w:t>
      </w:r>
    </w:p>
    <w:p>
      <w:pPr>
        <w:spacing w:after="140" w:line="276"/>
      </w:pPr>
      <w:r>
        <w:rPr>
          <w:rFonts w:ascii="Calibri" w:cs="Calibri" w:eastAsia="Calibri" w:hAnsi="Calibri"/>
          <w:color w:val="20262E"/>
          <w:sz w:val="21"/>
          <w:szCs w:val="21"/>
        </w:rPr>
        <w:t xml:space="preserve">El titular de la cuenta puede incorporar a las personas de su equipo, cada una con credenciales propias, y distribuir la cartera entre ellas.</w:t>
      </w:r>
    </w:p>
    <w:p>
      <w:pPr>
        <w:pStyle w:val="ListParagraph"/>
        <w:numPr>
          <w:ilvl w:val="0"/>
          <w:numId w:val="2"/>
        </w:numPr>
        <w:spacing w:after="70" w:line="264"/>
      </w:pPr>
      <w:r>
        <w:rPr>
          <w:rFonts w:ascii="Calibri" w:cs="Calibri" w:eastAsia="Calibri" w:hAnsi="Calibri"/>
          <w:b/>
          <w:bCs/>
          <w:color w:val="20262E"/>
          <w:sz w:val="21"/>
          <w:szCs w:val="21"/>
        </w:rPr>
        <w:t xml:space="preserve">Cuentas de equipo: </w:t>
      </w:r>
      <w:r>
        <w:rPr>
          <w:rFonts w:ascii="Calibri" w:cs="Calibri" w:eastAsia="Calibri" w:hAnsi="Calibri"/>
          <w:b w:val="false"/>
          <w:bCs w:val="false"/>
          <w:color w:val="20262E"/>
          <w:sz w:val="21"/>
          <w:szCs w:val="21"/>
        </w:rPr>
        <w:t xml:space="preserve">cada integrante accede con su propio usuario y contraseña.</w:t>
      </w:r>
    </w:p>
    <w:p>
      <w:pPr>
        <w:pStyle w:val="ListParagraph"/>
        <w:numPr>
          <w:ilvl w:val="0"/>
          <w:numId w:val="2"/>
        </w:numPr>
        <w:spacing w:after="70" w:line="264"/>
      </w:pPr>
      <w:r>
        <w:rPr>
          <w:rFonts w:ascii="Calibri" w:cs="Calibri" w:eastAsia="Calibri" w:hAnsi="Calibri"/>
          <w:b/>
          <w:bCs/>
          <w:color w:val="20262E"/>
          <w:sz w:val="21"/>
          <w:szCs w:val="21"/>
        </w:rPr>
        <w:t xml:space="preserve">Asignación de cartera: </w:t>
      </w:r>
      <w:r>
        <w:rPr>
          <w:rFonts w:ascii="Calibri" w:cs="Calibri" w:eastAsia="Calibri" w:hAnsi="Calibri"/>
          <w:b w:val="false"/>
          <w:bCs w:val="false"/>
          <w:color w:val="20262E"/>
          <w:sz w:val="21"/>
          <w:szCs w:val="21"/>
        </w:rPr>
        <w:t xml:space="preserve">cada integrante visualiza exclusivamente los contribuyentes que le fueron asignados. El titular conserva la visión completa del estudio.</w:t>
      </w:r>
    </w:p>
    <w:p>
      <w:pPr>
        <w:pStyle w:val="ListParagraph"/>
        <w:numPr>
          <w:ilvl w:val="0"/>
          <w:numId w:val="2"/>
        </w:numPr>
        <w:spacing w:after="70" w:line="264"/>
      </w:pPr>
      <w:r>
        <w:rPr>
          <w:rFonts w:ascii="Calibri" w:cs="Calibri" w:eastAsia="Calibri" w:hAnsi="Calibri"/>
          <w:b/>
          <w:bCs/>
          <w:color w:val="20262E"/>
          <w:sz w:val="21"/>
          <w:szCs w:val="21"/>
        </w:rPr>
        <w:t xml:space="preserve">Responsable por contribuyente: </w:t>
      </w:r>
      <w:r>
        <w:rPr>
          <w:rFonts w:ascii="Calibri" w:cs="Calibri" w:eastAsia="Calibri" w:hAnsi="Calibri"/>
          <w:b w:val="false"/>
          <w:bCs w:val="false"/>
          <w:color w:val="20262E"/>
          <w:sz w:val="21"/>
          <w:szCs w:val="21"/>
        </w:rPr>
        <w:t xml:space="preserve">la cartera del titular indica qué integrante tiene a cargo cada contribuyente.</w:t>
      </w:r>
    </w:p>
    <w:p>
      <w:pPr>
        <w:spacing w:after="100"/>
      </w:pPr>
    </w:p>
    <w:p>
      <w:pPr>
        <w:pStyle w:val="Heading3"/>
        <w:spacing w:after="80" w:before="180"/>
      </w:pPr>
      <w:r>
        <w:rPr>
          <w:rFonts w:ascii="Calibri" w:cs="Calibri" w:eastAsia="Calibri" w:hAnsi="Calibri"/>
          <w:b/>
          <w:bCs/>
          <w:color w:val="10192D"/>
          <w:sz w:val="21"/>
          <w:szCs w:val="21"/>
        </w:rPr>
        <w:t xml:space="preserve">Permisos habilitables por integrante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D8DEE7" w:sz="4"/>
              <w:left w:val="single" w:color="D8DEE7" w:sz="4"/>
              <w:bottom w:val="single" w:color="D8DEE7" w:sz="4"/>
              <w:right w:val="single" w:color="D8DEE7" w:sz="4"/>
            </w:tcBorders>
            <w:shd w:fill="0F6DF0" w:color="auto" w:val="clear"/>
            <w:tcMar>
              <w:top w:type="dxa" w:w="90"/>
              <w:left w:type="dxa" w:w="130"/>
              <w:bottom w:type="dxa" w:w="90"/>
              <w:right w:type="dxa" w:w="130"/>
            </w:tcMar>
          </w:tcPr>
          <w:p>
            <w:pPr>
              <w:spacing w:after="0" w:line="250"/>
            </w:pPr>
            <w:r>
              <w:rPr>
                <w:rFonts w:ascii="Calibri" w:cs="Calibri" w:eastAsia="Calibri" w:hAnsi="Calibri"/>
                <w:b/>
                <w:bCs/>
                <w:color w:val="FFFFFF"/>
                <w:sz w:val="19"/>
                <w:szCs w:val="19"/>
              </w:rPr>
              <w:t xml:space="preserve">Permiso</w:t>
            </w:r>
          </w:p>
        </w:tc>
        <w:tc>
          <w:tcPr>
            <w:tcW w:type="dxa" w:w="6000"/>
            <w:tcBorders>
              <w:top w:val="single" w:color="D8DEE7" w:sz="4"/>
              <w:left w:val="single" w:color="D8DEE7" w:sz="4"/>
              <w:bottom w:val="single" w:color="D8DEE7" w:sz="4"/>
              <w:right w:val="single" w:color="D8DEE7" w:sz="4"/>
            </w:tcBorders>
            <w:shd w:fill="0F6DF0" w:color="auto" w:val="clear"/>
            <w:tcMar>
              <w:top w:type="dxa" w:w="90"/>
              <w:left w:type="dxa" w:w="130"/>
              <w:bottom w:type="dxa" w:w="90"/>
              <w:right w:type="dxa" w:w="130"/>
            </w:tcMar>
          </w:tcPr>
          <w:p>
            <w:pPr>
              <w:spacing w:after="0" w:line="250"/>
            </w:pPr>
            <w:r>
              <w:rPr>
                <w:rFonts w:ascii="Calibri" w:cs="Calibri" w:eastAsia="Calibri" w:hAnsi="Calibri"/>
                <w:b/>
                <w:bCs/>
                <w:color w:val="FFFFFF"/>
                <w:sz w:val="19"/>
                <w:szCs w:val="19"/>
              </w:rPr>
              <w:t xml:space="preserve">Habilita</w:t>
            </w:r>
          </w:p>
        </w:tc>
      </w:tr>
      <w:tr>
        <w:tc>
          <w:tcPr>
            <w:tcW w:type="dxa" w:w="30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Alta de contribuyentes</w:t>
            </w:r>
          </w:p>
        </w:tc>
        <w:tc>
          <w:tcPr>
            <w:tcW w:type="dxa" w:w="60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Incorporar nuevos contribuyentes a la cartera.</w:t>
            </w:r>
          </w:p>
        </w:tc>
      </w:tr>
      <w:tr>
        <w:tc>
          <w:tcPr>
            <w:tcW w:type="dxa" w:w="30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Edición de contribuyentes</w:t>
            </w:r>
          </w:p>
        </w:tc>
        <w:tc>
          <w:tcPr>
            <w:tcW w:type="dxa" w:w="60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Modificar los datos de la ficha.</w:t>
            </w:r>
          </w:p>
        </w:tc>
      </w:tr>
      <w:tr>
        <w:tc>
          <w:tcPr>
            <w:tcW w:type="dxa" w:w="30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Baja de contribuyentes</w:t>
            </w:r>
          </w:p>
        </w:tc>
        <w:tc>
          <w:tcPr>
            <w:tcW w:type="dxa" w:w="60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Eliminar contribuyentes de la cartera.</w:t>
            </w:r>
          </w:p>
        </w:tc>
      </w:tr>
      <w:tr>
        <w:tc>
          <w:tcPr>
            <w:tcW w:type="dxa" w:w="30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Actualización de clave fiscal</w:t>
            </w:r>
          </w:p>
        </w:tc>
        <w:tc>
          <w:tcPr>
            <w:tcW w:type="dxa" w:w="60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Cargar la nueva clave fiscal de un contribuyente.</w:t>
            </w:r>
          </w:p>
        </w:tc>
      </w:tr>
      <w:tr>
        <w:tc>
          <w:tcPr>
            <w:tcW w:type="dxa" w:w="30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Emisión de comprobantes</w:t>
            </w:r>
          </w:p>
        </w:tc>
        <w:tc>
          <w:tcPr>
            <w:tcW w:type="dxa" w:w="60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Emitir comprobantes electrónicos a nombre de los contribuyentes.</w:t>
            </w:r>
          </w:p>
        </w:tc>
      </w:tr>
      <w:tr>
        <w:tc>
          <w:tcPr>
            <w:tcW w:type="dxa" w:w="30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Conciliación</w:t>
            </w:r>
          </w:p>
        </w:tc>
        <w:tc>
          <w:tcPr>
            <w:tcW w:type="dxa" w:w="60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Cargar extractos y resolver movimientos.</w:t>
            </w:r>
          </w:p>
        </w:tc>
      </w:tr>
      <w:tr>
        <w:tc>
          <w:tcPr>
            <w:tcW w:type="dxa" w:w="30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Comunicaciones fiscales</w:t>
            </w:r>
          </w:p>
        </w:tc>
        <w:tc>
          <w:tcPr>
            <w:tcW w:type="dxa" w:w="60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Consultar las comunicaciones del domicilio fiscal electrónico.</w:t>
            </w:r>
          </w:p>
        </w:tc>
      </w:tr>
    </w:tbl>
    <w:p>
      <w:pPr>
        <w:pStyle w:val="Heading1"/>
        <w:pBdr>
          <w:bottom w:val="single" w:color="0F6DF0" w:sz="10" w:space="6"/>
        </w:pBdr>
        <w:spacing w:after="180" w:before="340"/>
      </w:pPr>
      <w:r>
        <w:rPr>
          <w:rFonts w:ascii="Calibri" w:cs="Calibri" w:eastAsia="Calibri" w:hAnsi="Calibri"/>
          <w:b/>
          <w:bCs/>
          <w:color w:val="10192D"/>
          <w:sz w:val="30"/>
          <w:szCs w:val="30"/>
        </w:rPr>
        <w:t xml:space="preserve">12. Actualización de la información</w:t>
      </w:r>
    </w:p>
    <w:p>
      <w:pPr>
        <w:spacing w:after="140" w:line="276"/>
      </w:pPr>
      <w:r>
        <w:rPr>
          <w:rFonts w:ascii="Calibri" w:cs="Calibri" w:eastAsia="Calibri" w:hAnsi="Calibri"/>
          <w:color w:val="20262E"/>
          <w:sz w:val="21"/>
          <w:szCs w:val="21"/>
        </w:rPr>
        <w:t xml:space="preserve">La información de la cartera se mantiene actualizada en forma automática y continua, sin que el profesional deba solicitar ni ejecutar ninguna actualización. El servicio prioriza a los contribuyentes cuya información lleva más tiempo sin renovarse.</w:t>
      </w:r>
    </w:p>
    <w:p>
      <w:pPr>
        <w:spacing w:after="140" w:line="276"/>
      </w:pPr>
      <w:r>
        <w:rPr>
          <w:rFonts w:ascii="Calibri" w:cs="Calibri" w:eastAsia="Calibri" w:hAnsi="Calibri"/>
          <w:color w:val="20262E"/>
          <w:sz w:val="21"/>
          <w:szCs w:val="21"/>
        </w:rPr>
        <w:t xml:space="preserve">Cuando la información de un contribuyente no puede mantenerse al día por una circunstancia ajena al servicio —clave fiscal desactualizada, renovación de clave exigida por el organismo, verificación en dos pasos activada por el contribuyente o irregularidades en su inscripción—, la plataforma lo identifica expresamente, indica la gestión que corresponde realizar y retoma la actualización automáticamente una vez regularizada la situación.</w:t>
      </w:r>
    </w:p>
    <w:p>
      <w:pPr>
        <w:pStyle w:val="Heading1"/>
        <w:pBdr>
          <w:bottom w:val="single" w:color="0F6DF0" w:sz="10" w:space="6"/>
        </w:pBdr>
        <w:spacing w:after="180" w:before="340"/>
      </w:pPr>
      <w:r>
        <w:rPr>
          <w:rFonts w:ascii="Calibri" w:cs="Calibri" w:eastAsia="Calibri" w:hAnsi="Calibri"/>
          <w:b/>
          <w:bCs/>
          <w:color w:val="10192D"/>
          <w:sz w:val="30"/>
          <w:szCs w:val="30"/>
        </w:rPr>
        <w:t xml:space="preserve">13. Cuenta, seguridad y soporte</w:t>
      </w:r>
    </w:p>
    <w:p>
      <w:pPr>
        <w:pStyle w:val="Heading2"/>
        <w:spacing w:after="110" w:before="260"/>
      </w:pPr>
      <w:r>
        <w:rPr>
          <w:rFonts w:ascii="Calibri" w:cs="Calibri" w:eastAsia="Calibri" w:hAnsi="Calibri"/>
          <w:b/>
          <w:bCs/>
          <w:color w:val="0F6DF0"/>
          <w:sz w:val="24"/>
          <w:szCs w:val="24"/>
        </w:rPr>
        <w:t xml:space="preserve">13.1. Cuenta y acceso</w:t>
      </w:r>
    </w:p>
    <w:p>
      <w:pPr>
        <w:pStyle w:val="ListParagraph"/>
        <w:numPr>
          <w:ilvl w:val="0"/>
          <w:numId w:val="2"/>
        </w:numPr>
        <w:spacing w:after="70" w:line="264"/>
      </w:pPr>
      <w:r>
        <w:rPr>
          <w:rFonts w:ascii="Calibri" w:cs="Calibri" w:eastAsia="Calibri" w:hAnsi="Calibri"/>
          <w:b/>
          <w:bCs/>
          <w:color w:val="20262E"/>
          <w:sz w:val="21"/>
          <w:szCs w:val="21"/>
        </w:rPr>
        <w:t xml:space="preserve">Registro y acceso: </w:t>
      </w:r>
      <w:r>
        <w:rPr>
          <w:rFonts w:ascii="Calibri" w:cs="Calibri" w:eastAsia="Calibri" w:hAnsi="Calibri"/>
          <w:b w:val="false"/>
          <w:bCs w:val="false"/>
          <w:color w:val="20262E"/>
          <w:sz w:val="21"/>
          <w:szCs w:val="21"/>
        </w:rPr>
        <w:t xml:space="preserve">alta de la cuenta del estudio y acceso mediante usuario y contraseña.</w:t>
      </w:r>
    </w:p>
    <w:p>
      <w:pPr>
        <w:pStyle w:val="ListParagraph"/>
        <w:numPr>
          <w:ilvl w:val="0"/>
          <w:numId w:val="2"/>
        </w:numPr>
        <w:spacing w:after="70" w:line="264"/>
      </w:pPr>
      <w:r>
        <w:rPr>
          <w:rFonts w:ascii="Calibri" w:cs="Calibri" w:eastAsia="Calibri" w:hAnsi="Calibri"/>
          <w:b/>
          <w:bCs/>
          <w:color w:val="20262E"/>
          <w:sz w:val="21"/>
          <w:szCs w:val="21"/>
        </w:rPr>
        <w:t xml:space="preserve">Confirmación de correo electrónico: </w:t>
      </w:r>
      <w:r>
        <w:rPr>
          <w:rFonts w:ascii="Calibri" w:cs="Calibri" w:eastAsia="Calibri" w:hAnsi="Calibri"/>
          <w:b w:val="false"/>
          <w:bCs w:val="false"/>
          <w:color w:val="20262E"/>
          <w:sz w:val="21"/>
          <w:szCs w:val="21"/>
        </w:rPr>
        <w:t xml:space="preserve">validación de la casilla declarada al registrarse.</w:t>
      </w:r>
    </w:p>
    <w:p>
      <w:pPr>
        <w:pStyle w:val="ListParagraph"/>
        <w:numPr>
          <w:ilvl w:val="0"/>
          <w:numId w:val="2"/>
        </w:numPr>
        <w:spacing w:after="70" w:line="264"/>
      </w:pPr>
      <w:r>
        <w:rPr>
          <w:rFonts w:ascii="Calibri" w:cs="Calibri" w:eastAsia="Calibri" w:hAnsi="Calibri"/>
          <w:b/>
          <w:bCs/>
          <w:color w:val="20262E"/>
          <w:sz w:val="21"/>
          <w:szCs w:val="21"/>
        </w:rPr>
        <w:t xml:space="preserve">Recuperación de contraseña: </w:t>
      </w:r>
      <w:r>
        <w:rPr>
          <w:rFonts w:ascii="Calibri" w:cs="Calibri" w:eastAsia="Calibri" w:hAnsi="Calibri"/>
          <w:b w:val="false"/>
          <w:bCs w:val="false"/>
          <w:color w:val="20262E"/>
          <w:sz w:val="21"/>
          <w:szCs w:val="21"/>
        </w:rPr>
        <w:t xml:space="preserve">restablecimiento por correo electrónico y cambio de contraseña desde la cuenta.</w:t>
      </w:r>
    </w:p>
    <w:p>
      <w:pPr>
        <w:pStyle w:val="ListParagraph"/>
        <w:numPr>
          <w:ilvl w:val="0"/>
          <w:numId w:val="2"/>
        </w:numPr>
        <w:spacing w:after="70" w:line="264"/>
      </w:pPr>
      <w:r>
        <w:rPr>
          <w:rFonts w:ascii="Calibri" w:cs="Calibri" w:eastAsia="Calibri" w:hAnsi="Calibri"/>
          <w:b/>
          <w:bCs/>
          <w:color w:val="20262E"/>
          <w:sz w:val="21"/>
          <w:szCs w:val="21"/>
        </w:rPr>
        <w:t xml:space="preserve">Aislamiento de la información: </w:t>
      </w:r>
      <w:r>
        <w:rPr>
          <w:rFonts w:ascii="Calibri" w:cs="Calibri" w:eastAsia="Calibri" w:hAnsi="Calibri"/>
          <w:b w:val="false"/>
          <w:bCs w:val="false"/>
          <w:color w:val="20262E"/>
          <w:sz w:val="21"/>
          <w:szCs w:val="21"/>
        </w:rPr>
        <w:t xml:space="preserve">cada estudio accede únicamente a su propia cartera; no existe visibilidad entre cuentas.</w:t>
      </w:r>
    </w:p>
    <w:p>
      <w:pPr>
        <w:pStyle w:val="Heading2"/>
        <w:spacing w:after="110" w:before="260"/>
      </w:pPr>
      <w:r>
        <w:rPr>
          <w:rFonts w:ascii="Calibri" w:cs="Calibri" w:eastAsia="Calibri" w:hAnsi="Calibri"/>
          <w:b/>
          <w:bCs/>
          <w:color w:val="0F6DF0"/>
          <w:sz w:val="24"/>
          <w:szCs w:val="24"/>
        </w:rPr>
        <w:t xml:space="preserve">13.2. Resguardo de la información</w:t>
      </w:r>
    </w:p>
    <w:p>
      <w:pPr>
        <w:pStyle w:val="ListParagraph"/>
        <w:numPr>
          <w:ilvl w:val="0"/>
          <w:numId w:val="2"/>
        </w:numPr>
        <w:spacing w:after="70" w:line="264"/>
      </w:pPr>
      <w:r>
        <w:rPr>
          <w:rFonts w:ascii="Calibri" w:cs="Calibri" w:eastAsia="Calibri" w:hAnsi="Calibri"/>
          <w:b/>
          <w:bCs/>
          <w:color w:val="20262E"/>
          <w:sz w:val="21"/>
          <w:szCs w:val="21"/>
        </w:rPr>
        <w:t xml:space="preserve">Cifrado de credenciales: </w:t>
      </w:r>
      <w:r>
        <w:rPr>
          <w:rFonts w:ascii="Calibri" w:cs="Calibri" w:eastAsia="Calibri" w:hAnsi="Calibri"/>
          <w:b w:val="false"/>
          <w:bCs w:val="false"/>
          <w:color w:val="20262E"/>
          <w:sz w:val="21"/>
          <w:szCs w:val="21"/>
        </w:rPr>
        <w:t xml:space="preserve">las credenciales fiscales de los contribuyentes se almacenan cifradas.</w:t>
      </w:r>
    </w:p>
    <w:p>
      <w:pPr>
        <w:pStyle w:val="ListParagraph"/>
        <w:numPr>
          <w:ilvl w:val="0"/>
          <w:numId w:val="2"/>
        </w:numPr>
        <w:spacing w:after="70" w:line="264"/>
      </w:pPr>
      <w:r>
        <w:rPr>
          <w:rFonts w:ascii="Calibri" w:cs="Calibri" w:eastAsia="Calibri" w:hAnsi="Calibri"/>
          <w:b/>
          <w:bCs/>
          <w:color w:val="20262E"/>
          <w:sz w:val="21"/>
          <w:szCs w:val="21"/>
        </w:rPr>
        <w:t xml:space="preserve">Copias de seguridad: </w:t>
      </w:r>
      <w:r>
        <w:rPr>
          <w:rFonts w:ascii="Calibri" w:cs="Calibri" w:eastAsia="Calibri" w:hAnsi="Calibri"/>
          <w:b w:val="false"/>
          <w:bCs w:val="false"/>
          <w:color w:val="20262E"/>
          <w:sz w:val="21"/>
          <w:szCs w:val="21"/>
        </w:rPr>
        <w:t xml:space="preserve">resguardo diario automático de la información, con retención histórica.</w:t>
      </w:r>
    </w:p>
    <w:p>
      <w:pPr>
        <w:pStyle w:val="ListParagraph"/>
        <w:numPr>
          <w:ilvl w:val="0"/>
          <w:numId w:val="2"/>
        </w:numPr>
        <w:spacing w:after="70" w:line="264"/>
      </w:pPr>
      <w:r>
        <w:rPr>
          <w:rFonts w:ascii="Calibri" w:cs="Calibri" w:eastAsia="Calibri" w:hAnsi="Calibri"/>
          <w:b/>
          <w:bCs/>
          <w:color w:val="20262E"/>
          <w:sz w:val="21"/>
          <w:szCs w:val="21"/>
        </w:rPr>
        <w:t xml:space="preserve">Persistencia en la cuenta: </w:t>
      </w:r>
      <w:r>
        <w:rPr>
          <w:rFonts w:ascii="Calibri" w:cs="Calibri" w:eastAsia="Calibri" w:hAnsi="Calibri"/>
          <w:b w:val="false"/>
          <w:bCs w:val="false"/>
          <w:color w:val="20262E"/>
          <w:sz w:val="21"/>
          <w:szCs w:val="21"/>
        </w:rPr>
        <w:t xml:space="preserve">la configuración del estudio y las ediciones sobre los contribuyentes se conservan en la cuenta, disponibles desde cualquier dispositivo.</w:t>
      </w:r>
    </w:p>
    <w:p>
      <w:pPr>
        <w:pStyle w:val="Heading2"/>
        <w:spacing w:after="110" w:before="260"/>
      </w:pPr>
      <w:r>
        <w:rPr>
          <w:rFonts w:ascii="Calibri" w:cs="Calibri" w:eastAsia="Calibri" w:hAnsi="Calibri"/>
          <w:b/>
          <w:bCs/>
          <w:color w:val="0F6DF0"/>
          <w:sz w:val="24"/>
          <w:szCs w:val="24"/>
        </w:rPr>
        <w:t xml:space="preserve">13.3. Soporte y comunicación</w:t>
      </w:r>
    </w:p>
    <w:p>
      <w:pPr>
        <w:pStyle w:val="ListParagraph"/>
        <w:numPr>
          <w:ilvl w:val="0"/>
          <w:numId w:val="2"/>
        </w:numPr>
        <w:spacing w:after="70" w:line="264"/>
      </w:pPr>
      <w:r>
        <w:rPr>
          <w:rFonts w:ascii="Calibri" w:cs="Calibri" w:eastAsia="Calibri" w:hAnsi="Calibri"/>
          <w:b/>
          <w:bCs/>
          <w:color w:val="20262E"/>
          <w:sz w:val="21"/>
          <w:szCs w:val="21"/>
        </w:rPr>
        <w:t xml:space="preserve">Chat de soporte: </w:t>
      </w:r>
      <w:r>
        <w:rPr>
          <w:rFonts w:ascii="Calibri" w:cs="Calibri" w:eastAsia="Calibri" w:hAnsi="Calibri"/>
          <w:b w:val="false"/>
          <w:bCs w:val="false"/>
          <w:color w:val="20262E"/>
          <w:sz w:val="21"/>
          <w:szCs w:val="21"/>
        </w:rPr>
        <w:t xml:space="preserve">canal de atención integrado en la plataforma.</w:t>
      </w:r>
    </w:p>
    <w:p>
      <w:pPr>
        <w:pStyle w:val="ListParagraph"/>
        <w:numPr>
          <w:ilvl w:val="0"/>
          <w:numId w:val="2"/>
        </w:numPr>
        <w:spacing w:after="70" w:line="264"/>
      </w:pPr>
      <w:r>
        <w:rPr>
          <w:rFonts w:ascii="Calibri" w:cs="Calibri" w:eastAsia="Calibri" w:hAnsi="Calibri"/>
          <w:b/>
          <w:bCs/>
          <w:color w:val="20262E"/>
          <w:sz w:val="21"/>
          <w:szCs w:val="21"/>
        </w:rPr>
        <w:t xml:space="preserve">Novedades: </w:t>
      </w:r>
      <w:r>
        <w:rPr>
          <w:rFonts w:ascii="Calibri" w:cs="Calibri" w:eastAsia="Calibri" w:hAnsi="Calibri"/>
          <w:b w:val="false"/>
          <w:bCs w:val="false"/>
          <w:color w:val="20262E"/>
          <w:sz w:val="21"/>
          <w:szCs w:val="21"/>
        </w:rPr>
        <w:t xml:space="preserve">sección con el detalle de las mejoras y funciones incorporadas al servicio, con aviso en pantalla cuando hay novedades sin leer.</w:t>
      </w:r>
    </w:p>
    <w:p>
      <w:pPr>
        <w:pStyle w:val="ListParagraph"/>
        <w:numPr>
          <w:ilvl w:val="0"/>
          <w:numId w:val="2"/>
        </w:numPr>
        <w:spacing w:after="70" w:line="264"/>
      </w:pPr>
      <w:r>
        <w:rPr>
          <w:rFonts w:ascii="Calibri" w:cs="Calibri" w:eastAsia="Calibri" w:hAnsi="Calibri"/>
          <w:b/>
          <w:bCs/>
          <w:color w:val="20262E"/>
          <w:sz w:val="21"/>
          <w:szCs w:val="21"/>
        </w:rPr>
        <w:t xml:space="preserve">Documentación legal: </w:t>
      </w:r>
      <w:r>
        <w:rPr>
          <w:rFonts w:ascii="Calibri" w:cs="Calibri" w:eastAsia="Calibri" w:hAnsi="Calibri"/>
          <w:b w:val="false"/>
          <w:bCs w:val="false"/>
          <w:color w:val="20262E"/>
          <w:sz w:val="21"/>
          <w:szCs w:val="21"/>
        </w:rPr>
        <w:t xml:space="preserve">términos y condiciones y política de privacidad accesibles desde la plataforma.</w:t>
      </w:r>
    </w:p>
    <w:p>
      <w:r>
        <w:br w:type="page"/>
      </w:r>
    </w:p>
    <w:p>
      <w:pPr>
        <w:pStyle w:val="Heading1"/>
        <w:pBdr>
          <w:bottom w:val="single" w:color="0F6DF0" w:sz="10" w:space="6"/>
        </w:pBdr>
        <w:spacing w:after="180" w:before="340"/>
      </w:pPr>
      <w:r>
        <w:rPr>
          <w:rFonts w:ascii="Calibri" w:cs="Calibri" w:eastAsia="Calibri" w:hAnsi="Calibri"/>
          <w:b/>
          <w:bCs/>
          <w:color w:val="10192D"/>
          <w:sz w:val="30"/>
          <w:szCs w:val="30"/>
        </w:rPr>
        <w:t xml:space="preserve">14. Resumen del alcance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tcW w:type="dxa" w:w="2300"/>
            <w:tcBorders>
              <w:top w:val="single" w:color="D8DEE7" w:sz="4"/>
              <w:left w:val="single" w:color="D8DEE7" w:sz="4"/>
              <w:bottom w:val="single" w:color="D8DEE7" w:sz="4"/>
              <w:right w:val="single" w:color="D8DEE7" w:sz="4"/>
            </w:tcBorders>
            <w:shd w:fill="0F6DF0" w:color="auto" w:val="clear"/>
            <w:tcMar>
              <w:top w:type="dxa" w:w="90"/>
              <w:left w:type="dxa" w:w="130"/>
              <w:bottom w:type="dxa" w:w="90"/>
              <w:right w:type="dxa" w:w="130"/>
            </w:tcMar>
          </w:tcPr>
          <w:p>
            <w:pPr>
              <w:spacing w:after="0" w:line="250"/>
            </w:pPr>
            <w:r>
              <w:rPr>
                <w:rFonts w:ascii="Calibri" w:cs="Calibri" w:eastAsia="Calibri" w:hAnsi="Calibri"/>
                <w:b/>
                <w:bCs/>
                <w:color w:val="FFFFFF"/>
                <w:sz w:val="19"/>
                <w:szCs w:val="19"/>
              </w:rPr>
              <w:t xml:space="preserve">Módulo</w:t>
            </w:r>
          </w:p>
        </w:tc>
        <w:tc>
          <w:tcPr>
            <w:tcW w:type="dxa" w:w="6700"/>
            <w:tcBorders>
              <w:top w:val="single" w:color="D8DEE7" w:sz="4"/>
              <w:left w:val="single" w:color="D8DEE7" w:sz="4"/>
              <w:bottom w:val="single" w:color="D8DEE7" w:sz="4"/>
              <w:right w:val="single" w:color="D8DEE7" w:sz="4"/>
            </w:tcBorders>
            <w:shd w:fill="0F6DF0" w:color="auto" w:val="clear"/>
            <w:tcMar>
              <w:top w:type="dxa" w:w="90"/>
              <w:left w:type="dxa" w:w="130"/>
              <w:bottom w:type="dxa" w:w="90"/>
              <w:right w:type="dxa" w:w="130"/>
            </w:tcMar>
          </w:tcPr>
          <w:p>
            <w:pPr>
              <w:spacing w:after="0" w:line="250"/>
            </w:pPr>
            <w:r>
              <w:rPr>
                <w:rFonts w:ascii="Calibri" w:cs="Calibri" w:eastAsia="Calibri" w:hAnsi="Calibri"/>
                <w:b/>
                <w:bCs/>
                <w:color w:val="FFFFFF"/>
                <w:sz w:val="19"/>
                <w:szCs w:val="19"/>
              </w:rPr>
              <w:t xml:space="preserve">Prestación incluida</w:t>
            </w:r>
          </w:p>
        </w:tc>
      </w:tr>
      <w:tr>
        <w:tc>
          <w:tcPr>
            <w:tcW w:type="dxa" w:w="23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Panel de cartera</w:t>
            </w:r>
          </w:p>
        </w:tc>
        <w:tc>
          <w:tcPr>
            <w:tcW w:type="dxa" w:w="67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Indicadores agregados, listado ordenable, semáforo de riesgo, búsqueda, filtros y avisos por contribuyente.</w:t>
            </w:r>
          </w:p>
        </w:tc>
      </w:tr>
      <w:tr>
        <w:tc>
          <w:tcPr>
            <w:tcW w:type="dxa" w:w="23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Ficha del contribuyente</w:t>
            </w:r>
          </w:p>
        </w:tc>
        <w:tc>
          <w:tcPr>
            <w:tcW w:type="dxa" w:w="67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Situación impositiva, estado de cuenta, planes de facilidades, histórico mensual, facturación de 12 meses, facturación agropecuaria, relación de dependencia, conciliación, comprobantes, domicilio fiscal electrónico y notas internas.</w:t>
            </w:r>
          </w:p>
        </w:tc>
      </w:tr>
      <w:tr>
        <w:tc>
          <w:tcPr>
            <w:tcW w:type="dxa" w:w="23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Emisión de comprobantes</w:t>
            </w:r>
          </w:p>
        </w:tc>
        <w:tc>
          <w:tcPr>
            <w:tcW w:type="dxa" w:w="67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Factura C y Nota de Crédito C con CAE, detalle por ítems, descarga en PDF con código QR y control de precio unitario máximo.</w:t>
            </w:r>
          </w:p>
        </w:tc>
      </w:tr>
      <w:tr>
        <w:tc>
          <w:tcPr>
            <w:tcW w:type="dxa" w:w="23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Conciliación bancaria</w:t>
            </w:r>
          </w:p>
        </w:tc>
        <w:tc>
          <w:tcPr>
            <w:tcW w:type="dxa" w:w="67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Carga individual y masiva de extractos en planilla, texto delimitado y PDF; cruce automático contra comprobantes y resolución por estado.</w:t>
            </w:r>
          </w:p>
        </w:tc>
      </w:tr>
      <w:tr>
        <w:tc>
          <w:tcPr>
            <w:tcW w:type="dxa" w:w="23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Alertas</w:t>
            </w:r>
          </w:p>
        </w:tc>
        <w:tc>
          <w:tcPr>
            <w:tcW w:type="dxa" w:w="67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Siete tipos de alerta con umbrales configurables, centro de alertas unificado y notificación al estudio por WhatsApp.</w:t>
            </w:r>
          </w:p>
        </w:tc>
      </w:tr>
      <w:tr>
        <w:tc>
          <w:tcPr>
            <w:tcW w:type="dxa" w:w="23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Recordatorios a contribuyentes</w:t>
            </w:r>
          </w:p>
        </w:tc>
        <w:tc>
          <w:tcPr>
            <w:tcW w:type="dxa" w:w="67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Envío automático mensual por correo electrónico, con carga masiva de contactos, previsualización y exclusión individual.</w:t>
            </w:r>
          </w:p>
        </w:tc>
      </w:tr>
      <w:tr>
        <w:tc>
          <w:tcPr>
            <w:tcW w:type="dxa" w:w="23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Reportes</w:t>
            </w:r>
          </w:p>
        </w:tc>
        <w:tc>
          <w:tcPr>
            <w:tcW w:type="dxa" w:w="67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Papel de trabajo por contribuyente, personalizable, con observaciones propias, imprimible en PDF y exportable a planilla.</w:t>
            </w:r>
          </w:p>
        </w:tc>
      </w:tr>
      <w:tr>
        <w:tc>
          <w:tcPr>
            <w:tcW w:type="dxa" w:w="23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Administración</w:t>
            </w:r>
          </w:p>
        </w:tc>
        <w:tc>
          <w:tcPr>
            <w:tcW w:type="dxa" w:w="67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Alta en segundo plano, contribuyentes representados, pausa y reanudación del monitoreo, y actualización de clave fiscal.</w:t>
            </w:r>
          </w:p>
        </w:tc>
      </w:tr>
      <w:tr>
        <w:tc>
          <w:tcPr>
            <w:tcW w:type="dxa" w:w="23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Equipo de trabajo</w:t>
            </w:r>
          </w:p>
        </w:tc>
        <w:tc>
          <w:tcPr>
            <w:tcW w:type="dxa" w:w="67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Cuentas por integrante, asignación de cartera y siete permisos habilitables individualmente.</w:t>
            </w:r>
          </w:p>
        </w:tc>
      </w:tr>
      <w:tr>
        <w:tc>
          <w:tcPr>
            <w:tcW w:type="dxa" w:w="23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Configuración</w:t>
            </w:r>
          </w:p>
        </w:tc>
        <w:tc>
          <w:tcPr>
            <w:tcW w:type="dxa" w:w="6700"/>
            <w:tcBorders>
              <w:top w:val="single" w:color="D8DEE7" w:sz="4"/>
              <w:left w:val="single" w:color="D8DEE7" w:sz="4"/>
              <w:bottom w:val="single" w:color="D8DEE7" w:sz="4"/>
              <w:right w:val="single" w:color="D8DEE7" w:sz="4"/>
            </w:tcBorders>
            <w:shd w:fill="F1F4F8" w:color="auto" w:val="clear"/>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Ventanas de recategorización, umbrales de alerta, canales de notificación, escala oficial de categorías y datos de la cuenta.</w:t>
            </w:r>
          </w:p>
        </w:tc>
      </w:tr>
      <w:tr>
        <w:tc>
          <w:tcPr>
            <w:tcW w:type="dxa" w:w="23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bCs/>
                <w:color w:val="20262E"/>
                <w:sz w:val="19"/>
                <w:szCs w:val="19"/>
              </w:rPr>
              <w:t xml:space="preserve">Actualización</w:t>
            </w:r>
          </w:p>
        </w:tc>
        <w:tc>
          <w:tcPr>
            <w:tcW w:type="dxa" w:w="6700"/>
            <w:tcBorders>
              <w:top w:val="single" w:color="D8DEE7" w:sz="4"/>
              <w:left w:val="single" w:color="D8DEE7" w:sz="4"/>
              <w:bottom w:val="single" w:color="D8DEE7" w:sz="4"/>
              <w:right w:val="single" w:color="D8DEE7" w:sz="4"/>
            </w:tcBorders>
            <w:tcMar>
              <w:top w:type="dxa" w:w="90"/>
              <w:left w:type="dxa" w:w="130"/>
              <w:bottom w:type="dxa" w:w="90"/>
              <w:right w:type="dxa" w:w="130"/>
            </w:tcMar>
          </w:tcPr>
          <w:p>
            <w:pPr>
              <w:spacing w:after="0" w:line="250"/>
            </w:pPr>
            <w:r>
              <w:rPr>
                <w:rFonts w:ascii="Calibri" w:cs="Calibri" w:eastAsia="Calibri" w:hAnsi="Calibri"/>
                <w:b w:val="false"/>
                <w:bCs w:val="false"/>
                <w:color w:val="20262E"/>
                <w:sz w:val="19"/>
                <w:szCs w:val="19"/>
              </w:rPr>
              <w:t xml:space="preserve">Mantenimiento automático y continuo de la información, con identificación expresa de los casos que requieren gestión.</w:t>
            </w:r>
          </w:p>
        </w:tc>
      </w:tr>
    </w:tbl>
    <w:p>
      <w:pPr>
        <w:pStyle w:val="Heading1"/>
        <w:pBdr>
          <w:bottom w:val="single" w:color="0F6DF0" w:sz="10" w:space="6"/>
        </w:pBdr>
        <w:spacing w:after="180" w:before="340"/>
      </w:pPr>
      <w:r>
        <w:rPr>
          <w:rFonts w:ascii="Calibri" w:cs="Calibri" w:eastAsia="Calibri" w:hAnsi="Calibri"/>
          <w:b/>
          <w:bCs/>
          <w:color w:val="10192D"/>
          <w:sz w:val="30"/>
          <w:szCs w:val="30"/>
        </w:rPr>
        <w:t xml:space="preserve">15. Precisiones sobre el alcance</w:t>
      </w:r>
    </w:p>
    <w:p>
      <w:pPr>
        <w:spacing w:after="140" w:line="276"/>
      </w:pPr>
      <w:r>
        <w:rPr>
          <w:rFonts w:ascii="Calibri" w:cs="Calibri" w:eastAsia="Calibri" w:hAnsi="Calibri"/>
          <w:color w:val="20262E"/>
          <w:sz w:val="21"/>
          <w:szCs w:val="21"/>
        </w:rPr>
        <w:t xml:space="preserve">A efectos de delimitar con claridad la prestación, se deja constancia de que el servicio comprende exclusivamente las funcionalidades descriptas en el presente documento. En particular, no se encuentran incluidas:</w:t>
      </w:r>
    </w:p>
    <w:p>
      <w:pPr>
        <w:pStyle w:val="ListParagraph"/>
        <w:numPr>
          <w:ilvl w:val="0"/>
          <w:numId w:val="2"/>
        </w:numPr>
        <w:spacing w:after="70" w:line="264"/>
      </w:pPr>
      <w:r>
        <w:rPr>
          <w:rFonts w:ascii="Calibri" w:cs="Calibri" w:eastAsia="Calibri" w:hAnsi="Calibri"/>
          <w:b w:val="false"/>
          <w:bCs w:val="false"/>
          <w:color w:val="20262E"/>
          <w:sz w:val="21"/>
          <w:szCs w:val="21"/>
        </w:rPr>
        <w:t xml:space="preserve">La liquidación de sueldos y jornales ni la confección de las declaraciones juradas de la seguridad social.</w:t>
      </w:r>
    </w:p>
    <w:p>
      <w:pPr>
        <w:pStyle w:val="ListParagraph"/>
        <w:numPr>
          <w:ilvl w:val="0"/>
          <w:numId w:val="2"/>
        </w:numPr>
        <w:spacing w:after="70" w:line="264"/>
      </w:pPr>
      <w:r>
        <w:rPr>
          <w:rFonts w:ascii="Calibri" w:cs="Calibri" w:eastAsia="Calibri" w:hAnsi="Calibri"/>
          <w:b w:val="false"/>
          <w:bCs w:val="false"/>
          <w:color w:val="20262E"/>
          <w:sz w:val="21"/>
          <w:szCs w:val="21"/>
        </w:rPr>
        <w:t xml:space="preserve">La registración contable, la confección de balances y los estados contables.</w:t>
      </w:r>
    </w:p>
    <w:p>
      <w:pPr>
        <w:pStyle w:val="ListParagraph"/>
        <w:numPr>
          <w:ilvl w:val="0"/>
          <w:numId w:val="2"/>
        </w:numPr>
        <w:spacing w:after="70" w:line="264"/>
      </w:pPr>
      <w:r>
        <w:rPr>
          <w:rFonts w:ascii="Calibri" w:cs="Calibri" w:eastAsia="Calibri" w:hAnsi="Calibri"/>
          <w:b w:val="false"/>
          <w:bCs w:val="false"/>
          <w:color w:val="20262E"/>
          <w:sz w:val="21"/>
          <w:szCs w:val="21"/>
        </w:rPr>
        <w:t xml:space="preserve">La liquidación de los impuestos a las ganancias y sobre los bienes personales.</w:t>
      </w:r>
    </w:p>
    <w:p>
      <w:pPr>
        <w:pStyle w:val="ListParagraph"/>
        <w:numPr>
          <w:ilvl w:val="0"/>
          <w:numId w:val="2"/>
        </w:numPr>
        <w:spacing w:after="70" w:line="264"/>
      </w:pPr>
      <w:r>
        <w:rPr>
          <w:rFonts w:ascii="Calibri" w:cs="Calibri" w:eastAsia="Calibri" w:hAnsi="Calibri"/>
          <w:b w:val="false"/>
          <w:bCs w:val="false"/>
          <w:color w:val="20262E"/>
          <w:sz w:val="21"/>
          <w:szCs w:val="21"/>
        </w:rPr>
        <w:t xml:space="preserve">La emisión de comprobantes de clases distintas a las expresamente indicadas en el apartado 4.</w:t>
      </w:r>
    </w:p>
    <w:p>
      <w:pPr>
        <w:pStyle w:val="ListParagraph"/>
        <w:numPr>
          <w:ilvl w:val="0"/>
          <w:numId w:val="2"/>
        </w:numPr>
        <w:spacing w:after="70" w:line="264"/>
      </w:pPr>
      <w:r>
        <w:rPr>
          <w:rFonts w:ascii="Calibri" w:cs="Calibri" w:eastAsia="Calibri" w:hAnsi="Calibri"/>
          <w:b w:val="false"/>
          <w:bCs w:val="false"/>
          <w:color w:val="20262E"/>
          <w:sz w:val="21"/>
          <w:szCs w:val="21"/>
        </w:rPr>
        <w:t xml:space="preserve">La presentación de declaraciones juradas ante los organismos fiscales ni la gestión de pagos por cuenta de los contribuyentes.</w:t>
      </w:r>
    </w:p>
    <w:p>
      <w:pPr>
        <w:pStyle w:val="ListParagraph"/>
        <w:numPr>
          <w:ilvl w:val="0"/>
          <w:numId w:val="2"/>
        </w:numPr>
        <w:spacing w:after="70" w:line="264"/>
      </w:pPr>
      <w:r>
        <w:rPr>
          <w:rFonts w:ascii="Calibri" w:cs="Calibri" w:eastAsia="Calibri" w:hAnsi="Calibri"/>
          <w:b w:val="false"/>
          <w:bCs w:val="false"/>
          <w:color w:val="20262E"/>
          <w:sz w:val="21"/>
          <w:szCs w:val="21"/>
        </w:rPr>
        <w:t xml:space="preserve">La liquidación de tributos provinciales y municipales.</w:t>
      </w:r>
    </w:p>
    <w:p>
      <w:pPr>
        <w:spacing w:after="120"/>
      </w:pPr>
    </w:p>
    <w:p>
      <w:pPr>
        <w:spacing w:after="140" w:line="276"/>
      </w:pPr>
      <w:r>
        <w:rPr>
          <w:rFonts w:ascii="Calibri" w:cs="Calibri" w:eastAsia="Calibri" w:hAnsi="Calibri"/>
          <w:i/>
          <w:iCs/>
          <w:color w:val="5B6675"/>
          <w:sz w:val="21"/>
          <w:szCs w:val="21"/>
        </w:rPr>
        <w:t xml:space="preserve">La información que presenta la plataforma tiene por finalidad asistir al profesional en el monitoreo y control de su cartera. No sustituye el ejercicio del criterio profesional ni releva al contador de la verificación que estime pertinente en el marco de su incumbencia.</w:t>
      </w:r>
    </w:p>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5"/>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7" w:sz="4" w:space="6"/>
      </w:pBdr>
      <w:spacing w:after="120"/>
      <w:jc w:val="right"/>
    </w:pPr>
    <w:r>
      <w:rPr>
        <w:rFonts w:ascii="Calibri" w:cs="Calibri" w:eastAsia="Calibri" w:hAnsi="Calibri"/>
        <w:color w:val="5B6675"/>
        <w:sz w:val="16"/>
        <w:szCs w:val="16"/>
      </w:rPr>
      <w:t xml:space="preserve">Órbita Contadores · Alcance del servicio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6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Órbita Contadores — Alcance del servicio</dc:title>
  <dc:creator>Órbita Contadores</dc:creator>
  <dc:description>Detalle funcional de las prestaciones incluidas en la plataforma</dc:description>
  <cp:lastModifiedBy>Un-named</cp:lastModifiedBy>
  <cp:revision>1</cp:revision>
  <dcterms:created xsi:type="dcterms:W3CDTF">2026-08-04T02:03:17.299Z</dcterms:created>
  <dcterms:modified xsi:type="dcterms:W3CDTF">2026-08-04T02:03:17.302Z</dcterms:modified>
</cp:coreProperties>
</file>

<file path=docProps/custom.xml><?xml version="1.0" encoding="utf-8"?>
<Properties xmlns="http://schemas.openxmlformats.org/officeDocument/2006/custom-properties" xmlns:vt="http://schemas.openxmlformats.org/officeDocument/2006/docPropsVTypes"/>
</file>