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53125" cy="1055586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38700"/>
                          <a:ext cx="5943600" cy="1036384"/>
                        </a:xfrm>
                        <a:custGeom>
                          <a:rect b="b" l="l" r="r" t="t"/>
                          <a:pathLst>
                            <a:path extrusionOk="0" h="482600" w="5943600">
                              <a:moveTo>
                                <a:pt x="0" y="0"/>
                              </a:moveTo>
                              <a:lnTo>
                                <a:pt x="0" y="482600"/>
                              </a:lnTo>
                              <a:lnTo>
                                <a:pt x="5943600" y="482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58.99998664855957"/>
                              <w:ind w:left="2243.000030517578" w:right="2171.999969482422" w:firstLine="2243.00003051757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Project Charter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243.000030517578" w:right="2251.0000610351562" w:firstLine="2243.00003051757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(Acta de Constitución del Proyecto)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53125" cy="1055586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0555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6840" w:w="11920" w:orient="portrait"/>
          <w:pgMar w:bottom="900" w:top="860" w:left="1220" w:right="740" w:header="360" w:footer="70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90" w:line="240" w:lineRule="auto"/>
        <w:ind w:left="303" w:right="23" w:firstLine="0"/>
        <w:rPr/>
      </w:pPr>
      <w:r w:rsidDel="00000000" w:rsidR="00000000" w:rsidRPr="00000000">
        <w:rPr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2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sz w:val="24"/>
          <w:szCs w:val="24"/>
          <w:rtl w:val="0"/>
        </w:rPr>
        <w:t xml:space="preserve">Plataforma de Crowdfunding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UFunding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90" w:line="240" w:lineRule="auto"/>
        <w:ind w:left="425.19685039370046" w:right="26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Fecha de Preparación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3" w:right="637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900" w:top="860" w:left="1220" w:right="740" w:header="360" w:footer="360"/>
          <w:cols w:equalWidth="0" w:num="4">
            <w:col w:space="377" w:w="2207.25"/>
            <w:col w:space="377" w:w="2207.25"/>
            <w:col w:space="377" w:w="2207.25"/>
            <w:col w:space="0" w:w="2207.2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sz w:val="24"/>
          <w:szCs w:val="24"/>
          <w:rtl w:val="0"/>
        </w:rPr>
        <w:t xml:space="preserve">20 Agosto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567"/>
        </w:tabs>
        <w:spacing w:before="36" w:line="240" w:lineRule="auto"/>
        <w:ind w:left="303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Estudiantes </w:t>
        <w:tab/>
        <w:tab/>
        <w:t xml:space="preserve">universitarios y </w:t>
        <w:tab/>
        <w:tab/>
        <w:t xml:space="preserve">financiadores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482"/>
        </w:tabs>
        <w:spacing w:before="3" w:line="240" w:lineRule="auto"/>
        <w:ind w:left="566.929133858267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Cierre: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30 de octubre del </w:t>
        <w:tab/>
        <w:tab/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9"/>
        </w:tabs>
        <w:spacing w:after="0" w:before="0" w:line="240" w:lineRule="auto"/>
        <w:ind w:left="238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900" w:top="860" w:left="1220" w:right="740" w:header="360" w:footer="360"/>
          <w:cols w:equalWidth="0" w:num="2">
            <w:col w:space="40" w:w="4960"/>
            <w:col w:space="0" w:w="4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567"/>
          <w:tab w:val="left" w:leader="none" w:pos="5515.000000000001"/>
          <w:tab w:val="left" w:leader="none" w:pos="7922"/>
        </w:tabs>
        <w:spacing w:before="13" w:line="240" w:lineRule="auto"/>
        <w:ind w:left="30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Preparado por:</w:t>
        <w:tab/>
      </w:r>
      <w:r w:rsidDel="00000000" w:rsidR="00000000" w:rsidRPr="00000000">
        <w:rPr>
          <w:sz w:val="24"/>
          <w:szCs w:val="24"/>
          <w:rtl w:val="0"/>
        </w:rPr>
        <w:t xml:space="preserve">Grupo 7 </w:t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Autorizado por:</w:t>
        <w:tab/>
      </w:r>
      <w:r w:rsidDel="00000000" w:rsidR="00000000" w:rsidRPr="00000000">
        <w:rPr>
          <w:sz w:val="24"/>
          <w:szCs w:val="24"/>
          <w:rtl w:val="0"/>
        </w:rPr>
        <w:t xml:space="preserve">Lenis Wong</w:t>
      </w:r>
    </w:p>
    <w:p w:rsidR="00000000" w:rsidDel="00000000" w:rsidP="00000000" w:rsidRDefault="00000000" w:rsidRPr="00000000" w14:paraId="0000000F">
      <w:pPr>
        <w:tabs>
          <w:tab w:val="left" w:leader="none" w:pos="2567"/>
          <w:tab w:val="left" w:leader="none" w:pos="5515.000000000001"/>
          <w:tab w:val="left" w:leader="none" w:pos="7922"/>
        </w:tabs>
        <w:spacing w:before="13" w:line="240" w:lineRule="auto"/>
        <w:ind w:left="30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Justificación de la Problemática del proyecto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Muchas universidades pueden tener recursos financieros limitados destinados a proyectos estudiantiles. Esto dificulta que los estudiantes accedan a los fondos necesarios para llevar a cabo investigaciones, desarrollar proyectos académicos o participar en actividades extracurriculares. Los proyectos universitarios a menudo requieren fondos para la compra de equipos, materiales de laboratorio, software especializado y otros recursos necesarios para llevar a cabo la investigación y los proyectos. </w:t>
      </w:r>
      <w:r w:rsidDel="00000000" w:rsidR="00000000" w:rsidRPr="00000000">
        <w:rPr>
          <w:sz w:val="24"/>
          <w:szCs w:val="24"/>
          <w:rtl w:val="0"/>
        </w:rPr>
        <w:t xml:space="preserve">Es por ello que esta plataforma permitiría a los estudiantes presentar sus proyectos a una audiencia más amplia y atraer a donantes interesados en apoyar su trabajo. Además que podría ayudar a aumentar  la visibilidad de los proyectos y permitir que los estudiantes recauden fondos de manera efectiva para así realizar sus investigaciones, asistir a conferencias y llevar a cabo actividades relacionadas con el estudio.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Justificación de la Innovación del proyecto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problemática de los recursos financieros limitados en las universidades justifica la necesidad de una plataforma de crowdfunding para proyectos estudiantiles. Esto promueve la educación superior y la investigación, iguala las oportunidades entre estudiantes, estimula la creatividad e innovación, desarrolla habilidades prácticas, conecta a la comunidad universitaria con la comunidad en general, diversifica los tipos de proyectos posibles, prepara a los estudiantes para desafíos futuros, y amplía el impacto social de los proyectos estudiantiles, al permitirles acceder a financiamiento externo para la compra de equipos, materiales de laboratorio, software especializado y otros recursos necesarios para la investigación y proyectos académicos.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line="240" w:lineRule="auto"/>
        <w:ind w:left="720" w:hanging="360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Nuestro propósito será que la plataforma de crowdfunding conecte a estudiantes universitarios con gente o empresas que brinden recursos financieros que puedan respaldar sus proyectos de software.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ind w:left="-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line="240" w:lineRule="auto"/>
        <w:ind w:left="720" w:hanging="360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2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60"/>
        <w:gridCol w:w="4820"/>
        <w:tblGridChange w:id="0">
          <w:tblGrid>
            <w:gridCol w:w="4660"/>
            <w:gridCol w:w="4820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846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Metas de la Organización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6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290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83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una plataforma web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crowdfunding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" w:line="240" w:lineRule="auto"/>
              <w:ind w:left="97" w:right="12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Permitir que los creadores de proyectos alcancen sus objetivos de financiamiento, ya sea a través de la recaudación de una cantidad específica de dinero o la obtención de recursos y apoyo suficientes para llevar a cabo sus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7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y aumentar la base de usuarios activos en la plataforma de crowdfunding. Esto implica atraer a un número significativo de creadores de proyectos que busquen financiación y a inversores interesados en respaldar estos proyectos. Para lograrlo, el proyecto podría definir métricas concretas, como la cantidad de proyectos activos, la cantidad total de fondos recaudados y la tasa de conversión de visitantes a usuarios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593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Promover proyectos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131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criterios de selección claros y transparentes para los proyectos que se pueden presentar en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7" w:right="248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Promocionar activamente proyectos destacados y de alta calidad en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4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Diversificación de categorías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7" w:right="544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una interfaz de usuario llamativa y sencilla de utilizar para el listado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97" w:right="93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 sistema de búsqueda avanzada que posibilite a los inversionistas localizar los proyectos que necesitan de manera eficaz.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ind w:left="-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 del Proyecto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Diseño y desarrollo de una plataforma web que resuelva los problemas financieros a los que se enfrentan los estudiantes universitarios al tratar de llevar a cabo investigaciones, proyectos académicos y actividades extracurriculares que tengan un impacto positivo en la sociedad.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estudiantes llegar a una audiencia más amplia y atraer a inversores interesados en apoyar su proyecto. Además que esta plataforma permita que los proyectos tengan una mayor visibilidad y que los estudiantes universitarios recauden fondos de manera efectiva para así realizar sus investigaciones, asistir a conferencias y llevar actividades relacionadas con el estudio y la implementación de su proyecto.</w:t>
      </w:r>
    </w:p>
    <w:tbl>
      <w:tblPr>
        <w:tblStyle w:val="Table3"/>
        <w:tblW w:w="9963.0" w:type="dxa"/>
        <w:jc w:val="left"/>
        <w:tblInd w:w="-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3"/>
        <w:tblGridChange w:id="0">
          <w:tblGrid>
            <w:gridCol w:w="99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registrarse, crear un perfil y gestionar su información personal.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creadores de proyectos cargar información sobre su proyecto, incluyendo descripciones, imágenes, videos y detalles de financiamiento.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creadores de proyectos establecer una meta financiera para su proyecto y un plazo para alcanzarla.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Categoriza los proyectos en función de su tipo, como tecnología, arte, música, etc., para que los patrocinadores puedan explorar proyectos de su interés.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 transacciones financieras seguras para que los patrocinadores puedan contribuir a los proyectos.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información en tiempo real sobre el progreso de financiamiento de los proyectos, incluyendo el monto recaudado y el tiempo restante.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Ofrece herramientas para que los creadores de proyectos promocionen sus campañas en redes sociales y otros canales.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 métricas y análisis para creadores de proyectos, incluyendo datos sobre el tráfico de la página del proyecto, la fuente de los patrocinios y más.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proyectos anteriores que han tenido éxito en la plataforma para aumentar la confianza de los patrocinadores.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Cumple con las regulaciones financieras y de privacidad aplicables, incluyendo la verificación de identidad de los creadores de proyectos.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patrocinadores calificar y dejar reseñas sobre proyectos después de su finalización.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solo facilitará el financiamiento de proyectos, conectando inversores con los proyectos innovadores, más no nos encargaremos de validar que el proyecto en cuestión se realice.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y los dueños de esta no se hacen responsables de que los proyectos cumplan con todas las promesas hechas hacia los inversores.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Destinatario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 universitarios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Financiadores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Beneficios para los destinatarios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 universitarios: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Financiamiento externo para desarrollar sus proyectos de software, lo que puede ser esencial, especialmente para estudiantes con recursos limitados.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Oportunidad de obtener visibilidad y atención a través de la promoción en línea, lo que puede ser útil para futuras oportunidades de carrera.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Financiadores: 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Descubrimiento de talentos para potenciar y brindar oportunidades a estudiantes universitarios que necesiten financiamiento para sus proyectos.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ind w:left="-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Planteamiento inicial del proyecto al alto nivel</w:t>
      </w:r>
    </w:p>
    <w:p w:rsidR="00000000" w:rsidDel="00000000" w:rsidP="00000000" w:rsidRDefault="00000000" w:rsidRPr="00000000" w14:paraId="00000071">
      <w:pPr>
        <w:spacing w:line="240" w:lineRule="auto"/>
        <w:ind w:left="-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3.0" w:type="dxa"/>
        <w:jc w:val="left"/>
        <w:tblInd w:w="-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3"/>
        <w:tblGridChange w:id="0">
          <w:tblGrid>
            <w:gridCol w:w="99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de recursos requeridos: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 Gerente de proyecto - S/ 4500/mes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Un analista funcional - S/ 2500/mes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Dos UI/UX Designer - S/ 5000/mes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Dos programadores Back-end - S/ 7000/mes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Dos programadores Front-end - S/ 6000/mes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Un analista de base de datos- S/ 2000/mes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Un analista de seguridad - S/ 3500/mes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Un analista QA  - S/ 3500/mes</w:t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de fechas a programar: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inicio: 21 de agosto del 2023 (semana 2)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fin: 30 de octubre del 2023 (semana 12)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ind w:left="-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del proyecto</w:t>
      </w:r>
    </w:p>
    <w:p w:rsidR="00000000" w:rsidDel="00000000" w:rsidP="00000000" w:rsidRDefault="00000000" w:rsidRPr="00000000" w14:paraId="00000084">
      <w:pPr>
        <w:spacing w:line="240" w:lineRule="auto"/>
        <w:ind w:left="-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3.0" w:type="dxa"/>
        <w:jc w:val="left"/>
        <w:tblInd w:w="-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3"/>
        <w:tblGridChange w:id="0">
          <w:tblGrid>
            <w:gridCol w:w="996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para creadores de proyectos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Perfil de Usuario.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 Proyectos.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con patrocinadores.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del progreso de su proyecto.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para inversores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Perfil de Usuario.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Búsqueda y Exploración de Proyectos.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Contribución Financiera a Proyectos.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Privada con los Creadores de Proyectos.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Calificaciones y Reseñas de Proyectos.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para administración de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 de Administración del Sitio.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y Atención al Cliente para Usuarios y Creadores de Proyectos.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Supervisión de la Actividad de Proyectos y Usuarios.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ind w:left="-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Hitos del proyecto</w:t>
      </w:r>
    </w:p>
    <w:p w:rsidR="00000000" w:rsidDel="00000000" w:rsidP="00000000" w:rsidRDefault="00000000" w:rsidRPr="00000000" w14:paraId="00000096">
      <w:pPr>
        <w:spacing w:line="240" w:lineRule="auto"/>
        <w:ind w:left="-3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63.0" w:type="dxa"/>
        <w:jc w:val="left"/>
        <w:tblInd w:w="-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1.5"/>
        <w:gridCol w:w="4981.5"/>
        <w:tblGridChange w:id="0">
          <w:tblGrid>
            <w:gridCol w:w="4981.5"/>
            <w:gridCol w:w="4981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o evento significativo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Hito 1: Requisitos y diseños iniciales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Hito 2: Desarrollo de los primeros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Hito 3: Desarrollo de los requisitos restantes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30/10/2023</w:t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3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120"/>
        <w:gridCol w:w="2925"/>
        <w:gridCol w:w="3315"/>
        <w:tblGridChange w:id="0">
          <w:tblGrid>
            <w:gridCol w:w="3120"/>
            <w:gridCol w:w="2925"/>
            <w:gridCol w:w="331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3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left="97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97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Gastos Fijos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95" w:line="240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Electricidad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95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1,350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13" w:line="240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Agua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13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1,050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11" w:line="240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11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600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09" w:line="240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Infraestructura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09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3,600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07" w:line="240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Hosting de Aplicaciones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07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2,700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3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1" w:line="240" w:lineRule="auto"/>
              <w:ind w:left="76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Gastos Variables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07" w:line="240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Auditorías externas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07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4,500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05" w:line="240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Mantenimiento de PC’s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05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1,200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03" w:line="240" w:lineRule="auto"/>
              <w:ind w:left="9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03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750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spacing w:before="101" w:line="240" w:lineRule="auto"/>
              <w:ind w:right="-49.48818897637778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01" w:line="240" w:lineRule="auto"/>
              <w:ind w:left="771" w:right="7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15,750</w:t>
            </w:r>
          </w:p>
        </w:tc>
      </w:tr>
    </w:tbl>
    <w:p w:rsidR="00000000" w:rsidDel="00000000" w:rsidP="00000000" w:rsidRDefault="00000000" w:rsidRPr="00000000" w14:paraId="000000C3">
      <w:pPr>
        <w:spacing w:before="1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0.0" w:type="dxa"/>
        <w:jc w:val="left"/>
        <w:tblInd w:w="2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120"/>
        <w:gridCol w:w="3100"/>
        <w:gridCol w:w="3100"/>
        <w:tblGridChange w:id="0">
          <w:tblGrid>
            <w:gridCol w:w="3120"/>
            <w:gridCol w:w="3100"/>
            <w:gridCol w:w="310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left="771" w:right="75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Sueldos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before="103" w:line="240" w:lineRule="auto"/>
              <w:ind w:left="447" w:right="4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before="107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13 500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before="106" w:line="240" w:lineRule="auto"/>
              <w:ind w:right="-13.11023622047201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before="110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6 000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before="108" w:line="240" w:lineRule="auto"/>
              <w:ind w:right="-13.11023622047201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 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before="110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7 500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before="108" w:line="240" w:lineRule="auto"/>
              <w:ind w:right="-13.11023622047201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 Front-end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before="112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9 000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before="108" w:line="240" w:lineRule="auto"/>
              <w:ind w:right="-13.11023622047201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  Back-end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before="112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before="108" w:line="240" w:lineRule="auto"/>
              <w:ind w:right="-13.11023622047201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before="112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before="108" w:line="240" w:lineRule="auto"/>
              <w:ind w:right="-13.11023622047201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before="112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before="108" w:line="240" w:lineRule="auto"/>
              <w:ind w:right="-13.11023622047201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funcional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before="112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7 500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before="112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75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3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20.0" w:type="dxa"/>
        <w:jc w:val="left"/>
        <w:tblInd w:w="2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120"/>
        <w:gridCol w:w="3100"/>
        <w:gridCol w:w="3100"/>
        <w:tblGridChange w:id="0">
          <w:tblGrid>
            <w:gridCol w:w="3120"/>
            <w:gridCol w:w="3100"/>
            <w:gridCol w:w="3100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before="111" w:line="240" w:lineRule="auto"/>
              <w:ind w:left="41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11" w:line="240" w:lineRule="auto"/>
              <w:ind w:left="6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111" w:line="240" w:lineRule="auto"/>
              <w:ind w:left="447" w:right="42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9,075</w:t>
            </w:r>
          </w:p>
        </w:tc>
      </w:tr>
    </w:tbl>
    <w:p w:rsidR="00000000" w:rsidDel="00000000" w:rsidP="00000000" w:rsidRDefault="00000000" w:rsidRPr="00000000" w14:paraId="000000E8">
      <w:pPr>
        <w:spacing w:before="8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99,825</w:t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20"/>
        </w:numPr>
        <w:spacing w:line="48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Autoridad del proyecto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 del proyecto</w:t>
      </w:r>
    </w:p>
    <w:tbl>
      <w:tblPr>
        <w:tblStyle w:val="Table11"/>
        <w:tblW w:w="991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Álvarez More, Diego</w:t>
            </w:r>
          </w:p>
        </w:tc>
      </w:tr>
    </w:tbl>
    <w:p w:rsidR="00000000" w:rsidDel="00000000" w:rsidP="00000000" w:rsidRDefault="00000000" w:rsidRPr="00000000" w14:paraId="000000EE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line="48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 del equipo del proyecto, roles y responsabilidades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12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Jefe del proyecto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Álvarez More, Diego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UI/UX Designer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Mirano Surquislla, Fiorella Patricia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Ortega Moran, Kenneth Evander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backend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Pariona Santiago, Joshua Bryan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Zapata Aguinaga, Fabio Sthefano Sneyder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FrontEnd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Alvarez More, Diego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Falla Gallegos, Diego André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de base de datos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Falla Gallegos, Diego André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funcional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Linares Mostacero, Diego Salvador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Ortega Moran, Kenneth Evander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QA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Dávila Vásquez, Rodrigo Estéfano</w:t>
            </w:r>
          </w:p>
        </w:tc>
      </w:tr>
    </w:tbl>
    <w:p w:rsidR="00000000" w:rsidDel="00000000" w:rsidP="00000000" w:rsidRDefault="00000000" w:rsidRPr="00000000" w14:paraId="0000010B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Firmas</w:t>
      </w:r>
      <w:r w:rsidDel="00000000" w:rsidR="00000000" w:rsidRPr="00000000">
        <w:rPr>
          <w:rtl w:val="0"/>
        </w:rPr>
      </w:r>
    </w:p>
    <w:tbl>
      <w:tblPr>
        <w:tblStyle w:val="Table13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0"/>
        <w:gridCol w:w="3320"/>
        <w:gridCol w:w="3320"/>
        <w:tblGridChange w:id="0">
          <w:tblGrid>
            <w:gridCol w:w="3320"/>
            <w:gridCol w:w="3320"/>
            <w:gridCol w:w="33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Nombre/ Función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Linares Mostacero, Diego Salvador/AF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207178" cy="703312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78" cy="703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Ortega Moran, Kenneth Evander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952625" cy="540717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5407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Falla Gallegos, Diego André</w:t>
              <w:br w:type="textWrapping"/>
              <w:t xml:space="preserve">FrontEnd Developer - 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Agosto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Álvarez More Diego</w:t>
              <w:br w:type="textWrapping"/>
              <w:t xml:space="preserve">FrontEnd Developer -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1372" cy="427224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2" cy="4272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Agosto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Zapata Aguinaga, Fabio Sthefano Sneyder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088346" cy="873742"/>
                  <wp:effectExtent b="0" l="0" r="0" t="0"/>
                  <wp:wrapNone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46" cy="8737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Dávila Vásquez, Rodrigo Estéfano -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177925" cy="581310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19480" l="16828" r="23022" t="30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581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Agosto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Mirano Surquislla, Fiorella Patricia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962150" cy="739701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39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Pariona Santiago, Joshua 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34975" cy="723900"/>
                  <wp:effectExtent b="0" l="0" r="0" t="0"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 b="0" l="20614" r="1896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Agosto del 2023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900" w:top="860" w:left="122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10045700</wp:posOffset>
              </wp:positionV>
              <wp:extent cx="511810" cy="16319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869558" y="3703165"/>
                        <a:ext cx="502285" cy="153670"/>
                      </a:xfrm>
                      <a:custGeom>
                        <a:rect b="b" l="l" r="r" t="t"/>
                        <a:pathLst>
                          <a:path extrusionOk="0" h="153670" w="502285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502285" y="153670"/>
                            </a:lnTo>
                            <a:lnTo>
                              <a:pt x="5022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10045700</wp:posOffset>
              </wp:positionV>
              <wp:extent cx="511810" cy="163195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810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10045700</wp:posOffset>
              </wp:positionV>
              <wp:extent cx="803910" cy="16319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723509" y="3703165"/>
                        <a:ext cx="794385" cy="153670"/>
                      </a:xfrm>
                      <a:custGeom>
                        <a:rect b="b" l="l" r="r" t="t"/>
                        <a:pathLst>
                          <a:path extrusionOk="0" h="153670" w="794385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794385" y="153670"/>
                            </a:lnTo>
                            <a:lnTo>
                              <a:pt x="7943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Project Charter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10045700</wp:posOffset>
              </wp:positionV>
              <wp:extent cx="803910" cy="163195"/>
              <wp:effectExtent b="0" l="0" r="0" t="0"/>
              <wp:wrapNone/>
              <wp:docPr id="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910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7022400" y="1383205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8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243" w:right="2172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