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line="360" w:lineRule="auto"/>
        <w:jc w:val="both"/>
      </w:pPr>
      <w:r>
        <w:rPr>
          <w:rFonts w:ascii="Times New Roman" w:cs="Times New Roman" w:eastAsia="Times New Roman" w:hAnsi="Times New Roman"/>
          <w:b/>
          <w:bCs/>
          <w:sz w:val="24"/>
          <w:szCs w:val="24"/>
        </w:rPr>
        <w:t xml:space="preserve">METODOLOGÍA</w:t>
      </w:r>
    </w:p>
    <w:p>
      <w:pPr>
        <w:spacing w:after="120" w:before="200" w:line="360" w:lineRule="auto"/>
        <w:jc w:val="left"/>
      </w:pPr>
      <w:r>
        <w:rPr>
          <w:rFonts w:ascii="Times New Roman" w:cs="Times New Roman" w:eastAsia="Times New Roman" w:hAnsi="Times New Roman"/>
          <w:b/>
          <w:bCs/>
          <w:sz w:val="24"/>
          <w:szCs w:val="24"/>
        </w:rPr>
        <w:t xml:space="preserve">Fuente de datos y población de estudio</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La información utilizada proviene de la Encuesta Nacional de Ingresos y Gastos de los Hogares (ENIGH) 2024, levantada por el Instituto Nacional de Estadística y Geografía (INEGI) del 21 de agosto al 28 de noviembre de 2024, con un tamaño de muestra efectivo de 105,718 viviendas particulares a nivel nacional, con representatividad por entidad federativa y ámbito urbano y rural (INEGI, 2024). Se utilizó específicamente el conjunto de datos “Concentradohogar” (Nueva Serie), que contiene las principales variables agregadas a nivel hogar. Tras eliminar registros incompletos y verificar la unicidad del identificador de hogar (folioviv + foliohog), la base de trabajo quedó conformada por 91,414 hogares, sin valores nulos ni registros duplicados.</w:t>
      </w:r>
    </w:p>
    <w:p>
      <w:pPr>
        <w:spacing w:after="120" w:before="200" w:line="360" w:lineRule="auto"/>
        <w:jc w:val="left"/>
      </w:pPr>
      <w:r>
        <w:rPr>
          <w:rFonts w:ascii="Times New Roman" w:cs="Times New Roman" w:eastAsia="Times New Roman" w:hAnsi="Times New Roman"/>
          <w:b/>
          <w:bCs/>
          <w:sz w:val="24"/>
          <w:szCs w:val="24"/>
        </w:rPr>
        <w:t xml:space="preserve">Variables de estudio</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Las variables originales del conjunto “Concentradohogar” fueron sometidas a un proceso de ingeniería de características para obtener un conjunto de predictores interpretables y adecuados para algoritmos de aprendizaje supervisado. La Tabla 1 presenta la descripción, escala de medición y codificación de las variables finales utilizadas en el modelo, incluyendo la variable respuesta.</w:t>
      </w:r>
    </w:p>
    <w:p>
      <w:pPr>
        <w:spacing w:after="60" w:before="120" w:line="360" w:lineRule="auto"/>
        <w:jc w:val="left"/>
      </w:pPr>
      <w:r>
        <w:rPr>
          <w:rFonts w:ascii="Times New Roman" w:cs="Times New Roman" w:eastAsia="Times New Roman" w:hAnsi="Times New Roman"/>
          <w:i/>
          <w:iCs/>
          <w:sz w:val="24"/>
          <w:szCs w:val="24"/>
        </w:rPr>
        <w:t xml:space="preserve">Tabla 1. Descripción de las variables del modelo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50"/>
        <w:gridCol w:w="3450"/>
        <w:gridCol w:w="1700"/>
        <w:gridCol w:w="2072"/>
      </w:tblGrid>
      <w:tr>
        <w:tc>
          <w:tcPr>
            <w:tcW w:type="dxa" w:w="185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Variable</w:t>
            </w:r>
          </w:p>
        </w:tc>
        <w:tc>
          <w:tcPr>
            <w:tcW w:type="dxa" w:w="345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Descripción</w:t>
            </w:r>
          </w:p>
        </w:tc>
        <w:tc>
          <w:tcPr>
            <w:tcW w:type="dxa" w:w="17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Escala de medición</w:t>
            </w:r>
          </w:p>
        </w:tc>
        <w:tc>
          <w:tcPr>
            <w:tcW w:type="dxa" w:w="2072"/>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Codificación</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clase_ingreso</w:t>
            </w:r>
            <w:r>
              <w:rPr>
                <w:rFonts w:ascii="Times New Roman" w:cs="Times New Roman" w:eastAsia="Times New Roman" w:hAnsi="Times New Roman"/>
                <w:sz w:val="20"/>
                <w:szCs w:val="20"/>
              </w:rPr>
              <w:br/>
              <w:t xml:space="preserve"/>
            </w:r>
            <w:r>
              <w:rPr>
                <w:rFonts w:ascii="Times New Roman" w:cs="Times New Roman" w:eastAsia="Times New Roman" w:hAnsi="Times New Roman"/>
                <w:b w:val="false"/>
                <w:bCs w:val="false"/>
                <w:sz w:val="20"/>
                <w:szCs w:val="20"/>
              </w:rPr>
              <w:t xml:space="preserve">(variable respuesta)</w:t>
            </w:r>
          </w:p>
        </w:tc>
        <w:tc>
          <w:tcPr>
            <w:tcW w:type="dxa" w:w="3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Indica si el ingreso corriente mensual del hogar (ing_cor / 3) es igual o mayor al umbral de clasificación definido (ver apartado siguiente).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Nominal (dicotómica)</w:t>
            </w:r>
          </w:p>
        </w:tc>
        <w:tc>
          <w:tcPr>
            <w:tcW w:type="dxa" w:w="20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 = ingreso ≥ umbral</w:t>
            </w:r>
            <w:r>
              <w:rPr>
                <w:rFonts w:ascii="Times New Roman" w:cs="Times New Roman" w:eastAsia="Times New Roman" w:hAnsi="Times New Roman"/>
                <w:sz w:val="20"/>
                <w:szCs w:val="20"/>
              </w:rPr>
              <w:br/>
              <w:t xml:space="preserve"/>
            </w:r>
            <w:r>
              <w:rPr>
                <w:rFonts w:ascii="Times New Roman" w:cs="Times New Roman" w:eastAsia="Times New Roman" w:hAnsi="Times New Roman"/>
                <w:b w:val="false"/>
                <w:bCs w:val="false"/>
                <w:sz w:val="20"/>
                <w:szCs w:val="20"/>
              </w:rPr>
              <w:t xml:space="preserve">0 = ingreso &lt; umbral</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edad_jefe</w:t>
            </w:r>
          </w:p>
        </w:tc>
        <w:tc>
          <w:tcPr>
            <w:tcW w:type="dxa" w:w="3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Edad en años cumplidos del jefe(a) del hogar.</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De razón</w:t>
            </w:r>
          </w:p>
        </w:tc>
        <w:tc>
          <w:tcPr>
            <w:tcW w:type="dxa" w:w="20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14 a 106 años</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tasa_dependencia</w:t>
            </w:r>
          </w:p>
        </w:tc>
        <w:tc>
          <w:tcPr>
            <w:tcW w:type="dxa" w:w="3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Carga económica del hogar: número de integrantes entre número de ocupados (si ocupados = 0, se usa el total de integrantes).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De razón</w:t>
            </w:r>
          </w:p>
        </w:tc>
        <w:tc>
          <w:tcPr>
            <w:tcW w:type="dxa" w:w="20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Valor continuo ≥ 1</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nivel_urbano</w:t>
            </w:r>
          </w:p>
        </w:tc>
        <w:tc>
          <w:tcPr>
            <w:tcW w:type="dxa" w:w="3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Grado de urbanización de la localidad, obtenido al invertir tam_loc (5 − tam_loc).</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Ordinal</w:t>
            </w:r>
          </w:p>
        </w:tc>
        <w:tc>
          <w:tcPr>
            <w:tcW w:type="dxa" w:w="20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 = rural (&lt; 2,500 hab.)</w:t>
            </w:r>
            <w:r>
              <w:rPr>
                <w:rFonts w:ascii="Times New Roman" w:cs="Times New Roman" w:eastAsia="Times New Roman" w:hAnsi="Times New Roman"/>
                <w:sz w:val="20"/>
                <w:szCs w:val="20"/>
              </w:rPr>
              <w:br/>
              <w:t xml:space="preserve"/>
            </w:r>
            <w:r>
              <w:rPr>
                <w:rFonts w:ascii="Times New Roman" w:cs="Times New Roman" w:eastAsia="Times New Roman" w:hAnsi="Times New Roman"/>
                <w:b w:val="false"/>
                <w:bCs w:val="false"/>
                <w:sz w:val="20"/>
                <w:szCs w:val="20"/>
              </w:rPr>
              <w:t xml:space="preserve">4 = metrópoli (≥ 100,000 hab.)</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educa_num</w:t>
            </w:r>
          </w:p>
        </w:tc>
        <w:tc>
          <w:tcPr>
            <w:tcW w:type="dxa" w:w="3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Nivel máximo de estudios del jefe(a) de hogar, recodificado como entero.</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Ordinal</w:t>
            </w:r>
          </w:p>
        </w:tc>
        <w:tc>
          <w:tcPr>
            <w:tcW w:type="dxa" w:w="20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 = Sin instrucción … 11 = Posgrado</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es_mujer_jefa</w:t>
            </w:r>
          </w:p>
        </w:tc>
        <w:tc>
          <w:tcPr>
            <w:tcW w:type="dxa" w:w="3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Sexo del jefe(a) de hogar.</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Nominal (dicotómica)</w:t>
            </w:r>
          </w:p>
        </w:tc>
        <w:tc>
          <w:tcPr>
            <w:tcW w:type="dxa" w:w="20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 = Mujer</w:t>
            </w:r>
            <w:r>
              <w:rPr>
                <w:rFonts w:ascii="Times New Roman" w:cs="Times New Roman" w:eastAsia="Times New Roman" w:hAnsi="Times New Roman"/>
                <w:sz w:val="20"/>
                <w:szCs w:val="20"/>
              </w:rPr>
              <w:br/>
              <w:t xml:space="preserve"/>
            </w:r>
            <w:r>
              <w:rPr>
                <w:rFonts w:ascii="Times New Roman" w:cs="Times New Roman" w:eastAsia="Times New Roman" w:hAnsi="Times New Roman"/>
                <w:b w:val="false"/>
                <w:bCs w:val="false"/>
                <w:sz w:val="20"/>
                <w:szCs w:val="20"/>
              </w:rPr>
              <w:t xml:space="preserve">0 = Hombre</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est_socio_num</w:t>
            </w:r>
          </w:p>
        </w:tc>
        <w:tc>
          <w:tcPr>
            <w:tcW w:type="dxa" w:w="3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Estrato socioeconómico del hogar, construido por el INEGI.</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Ordinal</w:t>
            </w:r>
          </w:p>
        </w:tc>
        <w:tc>
          <w:tcPr>
            <w:tcW w:type="dxa" w:w="20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 = Bajo … 4 = Alto</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region</w:t>
            </w:r>
          </w:p>
        </w:tc>
        <w:tc>
          <w:tcPr>
            <w:tcW w:type="dxa" w:w="3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Macrorregión económica de la entidad federativa de residencia, según ubica_geo.</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Nominal (politómica)</w:t>
            </w:r>
          </w:p>
        </w:tc>
        <w:tc>
          <w:tcPr>
            <w:tcW w:type="dxa" w:w="20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Norte, Centro-Norte, Centro, Sur</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clase_hog</w:t>
            </w:r>
          </w:p>
        </w:tc>
        <w:tc>
          <w:tcPr>
            <w:tcW w:type="dxa" w:w="3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Estructura familiar del hogar.</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Nominal (politómica)</w:t>
            </w:r>
          </w:p>
        </w:tc>
        <w:tc>
          <w:tcPr>
            <w:tcW w:type="dxa" w:w="20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Unipersonal, Nuclear, Ampliado, Compuesto, Corresidente</w:t>
            </w:r>
          </w:p>
        </w:tc>
      </w:tr>
    </w:tbl>
    <w:p>
      <w:pPr>
        <w:spacing w:after="120" w:before="200" w:line="360" w:lineRule="auto"/>
        <w:jc w:val="left"/>
      </w:pPr>
      <w:r>
        <w:rPr>
          <w:rFonts w:ascii="Times New Roman" w:cs="Times New Roman" w:eastAsia="Times New Roman" w:hAnsi="Times New Roman"/>
          <w:b/>
          <w:bCs/>
          <w:sz w:val="24"/>
          <w:szCs w:val="24"/>
        </w:rPr>
        <w:t xml:space="preserve">Construcción de la variable respuesta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La variable respuesta clase_ingreso se construyó a partir del ingreso corriente trimestral (ing_cor), convertido a una base mensual (ing_mensual = ing_cor / 3). Para evitar que la elección del umbral de clasificación pareciera arbitraria, se contrastaron dos criterios con respaldo en fuentes oficiales:</w:t>
      </w:r>
    </w:p>
    <w:p>
      <w:pPr>
        <w:spacing w:after="80" w:line="360" w:lineRule="auto"/>
        <w:jc w:val="both"/>
      </w:pPr>
      <w:r>
        <w:rPr>
          <w:rFonts w:ascii="Times New Roman" w:cs="Times New Roman" w:eastAsia="Times New Roman" w:hAnsi="Times New Roman"/>
          <w:b w:val="false"/>
          <w:bCs w:val="false"/>
          <w:i w:val="false"/>
          <w:iCs w:val="false"/>
          <w:sz w:val="24"/>
          <w:szCs w:val="24"/>
        </w:rPr>
        <w:t xml:space="preserve">Umbral 1 ($15,000 MXN mensuales). Equivale aproximadamente a dos salarios mínimos generales vigentes en 2024 ($248.93 pesos diarios, ≈ $7,508 mensuales), de acuerdo con la resolución de la Comisión Nacional de los Salarios Mínimos (CONASAMI, 2024).</w:t>
      </w:r>
    </w:p>
    <w:p>
      <w:pPr>
        <w:spacing w:after="80" w:line="360" w:lineRule="auto"/>
        <w:jc w:val="both"/>
      </w:pPr>
      <w:r>
        <w:rPr>
          <w:rFonts w:ascii="Times New Roman" w:cs="Times New Roman" w:eastAsia="Times New Roman" w:hAnsi="Times New Roman"/>
          <w:b w:val="false"/>
          <w:bCs w:val="false"/>
          <w:i w:val="false"/>
          <w:iCs w:val="false"/>
          <w:sz w:val="24"/>
          <w:szCs w:val="24"/>
        </w:rPr>
        <w:t xml:space="preserve">Umbral 2 (mediana muestral, ≈ $18,555 MXN mensuales). Coincide, con una diferencia menor al 2%, con la Línea de Pobreza por Ingresos (LPI) urbana publicada por el Consejo Nacional de Evaluación de la Política de Desarrollo Social (CONEVAL, 2024) para un hogar de cuatro integrantes en agosto de 2024 ($18,259.84 MXN). Adicionalmente, este umbral produce una distribución de clases prácticamente balanceada (50.0% / 50.0%).</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Ambos umbrales se evaluaron de manera independiente en la etapa de modelado, con el fin de comparar su desempeño y su interpretación práctica: el primero como referencia de capacidad de pago (múltiplo del salario mínimo) y el segundo como referencia de vulnerabilidad por ingresos (línea de pobreza oficial).</w:t>
      </w:r>
    </w:p>
    <w:p>
      <w:pPr>
        <w:spacing w:after="120" w:before="200" w:line="360" w:lineRule="auto"/>
        <w:jc w:val="left"/>
      </w:pPr>
      <w:r>
        <w:rPr>
          <w:rFonts w:ascii="Times New Roman" w:cs="Times New Roman" w:eastAsia="Times New Roman" w:hAnsi="Times New Roman"/>
          <w:b/>
          <w:bCs/>
          <w:sz w:val="24"/>
          <w:szCs w:val="24"/>
        </w:rPr>
        <w:t xml:space="preserve">Regionalización geográfica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La variable ubica_geo (clave de entidad y municipio) se agrupó en cuatro macrorregiones económicas a partir de los dos primeros dígitos (clave de entidad federativa), siguiendo la regionalización utilizada por el Banco de México (2024) en sus Reportes sobre las Economías Regionales. Esta regionalización cubre la totalidad de las 32 entidades federativas, sin categorías residuales. La Tabla 2 presenta la composición de cada región.</w:t>
      </w:r>
    </w:p>
    <w:p>
      <w:pPr>
        <w:spacing w:after="60" w:before="120" w:line="360" w:lineRule="auto"/>
        <w:jc w:val="left"/>
      </w:pPr>
      <w:r>
        <w:rPr>
          <w:rFonts w:ascii="Times New Roman" w:cs="Times New Roman" w:eastAsia="Times New Roman" w:hAnsi="Times New Roman"/>
          <w:i/>
          <w:iCs/>
          <w:sz w:val="24"/>
          <w:szCs w:val="24"/>
        </w:rPr>
        <w:t xml:space="preserve">Tabla 2. Clasificación regional de las entidades federativas (Banco de México, 2024)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7272"/>
      </w:tblGrid>
      <w:tr>
        <w:tc>
          <w:tcPr>
            <w:tcW w:type="dxa" w:w="18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Región</w:t>
            </w:r>
          </w:p>
        </w:tc>
        <w:tc>
          <w:tcPr>
            <w:tcW w:type="dxa" w:w="7272"/>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Entidades federativas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Norte</w:t>
            </w:r>
          </w:p>
        </w:tc>
        <w:tc>
          <w:tcPr>
            <w:tcW w:type="dxa" w:w="72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Baja California, Coahuila, Chihuahua, Nuevo León, Sonora, Tamaulipas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Centro-Norte</w:t>
            </w:r>
          </w:p>
        </w:tc>
        <w:tc>
          <w:tcPr>
            <w:tcW w:type="dxa" w:w="72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Aguascalientes, Baja California Sur, Colima, Durango, Jalisco, Michoacán, Nayarit, San Luis Potosí, Sinaloa, Zacatecas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Centro</w:t>
            </w:r>
          </w:p>
        </w:tc>
        <w:tc>
          <w:tcPr>
            <w:tcW w:type="dxa" w:w="72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Ciudad de México, Estado de México, Guanajuato, Hidalgo, Morelos, Puebla, Querétaro, Tlaxcala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Sur</w:t>
            </w:r>
          </w:p>
        </w:tc>
        <w:tc>
          <w:tcPr>
            <w:tcW w:type="dxa" w:w="72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Campeche, Chiapas, Guerrero, Oaxaca, Quintana Roo, Tabasco, Veracruz, Yucatán</w:t>
            </w:r>
          </w:p>
        </w:tc>
      </w:tr>
    </w:tbl>
    <w:p>
      <w:pPr>
        <w:spacing w:after="160" w:before="240" w:line="360" w:lineRule="auto"/>
        <w:jc w:val="both"/>
      </w:pPr>
      <w:r>
        <w:rPr>
          <w:rFonts w:ascii="Times New Roman" w:cs="Times New Roman" w:eastAsia="Times New Roman" w:hAnsi="Times New Roman"/>
          <w:b/>
          <w:bCs/>
          <w:sz w:val="24"/>
          <w:szCs w:val="24"/>
        </w:rPr>
        <w:t xml:space="preserve">RESULTADOS</w:t>
      </w:r>
    </w:p>
    <w:p>
      <w:pPr>
        <w:spacing w:after="120" w:before="200" w:line="360" w:lineRule="auto"/>
        <w:jc w:val="left"/>
      </w:pPr>
      <w:r>
        <w:rPr>
          <w:rFonts w:ascii="Times New Roman" w:cs="Times New Roman" w:eastAsia="Times New Roman" w:hAnsi="Times New Roman"/>
          <w:b/>
          <w:bCs/>
          <w:sz w:val="24"/>
          <w:szCs w:val="24"/>
        </w:rPr>
        <w:t xml:space="preserve">Descripción de la muestra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La base de trabajo está conformada por 91,414 hogares mexicanos, sin valores nulos ni registros duplicados (ni a nivel de fila completa, ni en la combinación folioviv-foliohog). La Tabla 3 resume las estadísticas descriptivas de las variables numéricas principales antes de su transformación final.</w:t>
      </w:r>
    </w:p>
    <w:p>
      <w:pPr>
        <w:spacing w:after="60" w:before="120" w:line="360" w:lineRule="auto"/>
        <w:jc w:val="left"/>
      </w:pPr>
      <w:r>
        <w:rPr>
          <w:rFonts w:ascii="Times New Roman" w:cs="Times New Roman" w:eastAsia="Times New Roman" w:hAnsi="Times New Roman"/>
          <w:i/>
          <w:iCs/>
          <w:sz w:val="24"/>
          <w:szCs w:val="24"/>
        </w:rPr>
        <w:t xml:space="preserve">Tabla 3. Estadísticas descriptivas de las variables numéricas (n = 91,414)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72"/>
        <w:gridCol w:w="1650"/>
        <w:gridCol w:w="1650"/>
        <w:gridCol w:w="1650"/>
        <w:gridCol w:w="1650"/>
      </w:tblGrid>
      <w:tr>
        <w:tc>
          <w:tcPr>
            <w:tcW w:type="dxa" w:w="2472"/>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Variable</w:t>
            </w:r>
          </w:p>
        </w:tc>
        <w:tc>
          <w:tcPr>
            <w:tcW w:type="dxa" w:w="165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Media</w:t>
            </w:r>
          </w:p>
        </w:tc>
        <w:tc>
          <w:tcPr>
            <w:tcW w:type="dxa" w:w="165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Mediana</w:t>
            </w:r>
          </w:p>
        </w:tc>
        <w:tc>
          <w:tcPr>
            <w:tcW w:type="dxa" w:w="165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Mínimo</w:t>
            </w:r>
          </w:p>
        </w:tc>
        <w:tc>
          <w:tcPr>
            <w:tcW w:type="dxa" w:w="165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Máximo</w:t>
            </w:r>
          </w:p>
        </w:tc>
      </w:tr>
      <w:tr>
        <w:tc>
          <w:tcPr>
            <w:tcW w:type="dxa" w:w="24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Ingreso mensual (MXN)</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24,091.20</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18,555.39</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0.00</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5,810,659.18</w:t>
            </w:r>
          </w:p>
        </w:tc>
      </w:tr>
      <w:tr>
        <w:tc>
          <w:tcPr>
            <w:tcW w:type="dxa" w:w="24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Edad del jefe(a) de hogar (años)</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52.6*</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52.0*</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14</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106</w:t>
            </w:r>
          </w:p>
        </w:tc>
      </w:tr>
      <w:tr>
        <w:tc>
          <w:tcPr>
            <w:tcW w:type="dxa" w:w="24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Total de integrantes del hogar</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3.6*</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3.0*</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20</w:t>
            </w:r>
          </w:p>
        </w:tc>
      </w:tr>
      <w:tr>
        <w:tc>
          <w:tcPr>
            <w:tcW w:type="dxa" w:w="24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Tasa de dependencia</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2.15</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2.00</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1.00</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11.00</w:t>
            </w:r>
          </w:p>
        </w:tc>
      </w:tr>
    </w:tbl>
    <w:p>
      <w:pPr>
        <w:spacing w:after="160" w:line="360" w:lineRule="auto"/>
        <w:jc w:val="both"/>
      </w:pPr>
      <w:r>
        <w:rPr>
          <w:rFonts w:ascii="Times New Roman" w:cs="Times New Roman" w:eastAsia="Times New Roman" w:hAnsi="Times New Roman"/>
          <w:b w:val="false"/>
          <w:bCs w:val="false"/>
          <w:i/>
          <w:iCs/>
          <w:sz w:val="20"/>
          <w:szCs w:val="20"/>
        </w:rPr>
        <w:t xml:space="preserve">* Valores aproximados obtenidos del análisis exploratorio inicial sobre la distribución de edad_jefe y tot_integ.</w:t>
      </w:r>
    </w:p>
    <w:p>
      <w:pPr>
        <w:spacing w:after="120" w:before="200" w:line="360" w:lineRule="auto"/>
        <w:jc w:val="left"/>
      </w:pPr>
      <w:r>
        <w:rPr>
          <w:rFonts w:ascii="Times New Roman" w:cs="Times New Roman" w:eastAsia="Times New Roman" w:hAnsi="Times New Roman"/>
          <w:b/>
          <w:bCs/>
          <w:sz w:val="24"/>
          <w:szCs w:val="24"/>
        </w:rPr>
        <w:t xml:space="preserve">Distribución de las variables categóricas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En cuanto a la composición del hogar y su entorno, las localidades muy rurales (menos de 2,500 habitantes) y las metrópolis (100,000 habitantes o más) concentran la mayor parte de los hogares de la muestra (aproximadamente 39% y 37%, respectivamente), mientras que las localidades de tamaño intermedio representan el resto. Respecto al estrato socioeconómico construido por el INEGI, predomina el estrato “Medio bajo” (≈ 51%), seguido por “Bajo” (≈ 21%) y “Medio alto” (≈ 20%); el estrato “Alto” es el menos frecuente (≈ 9%). En cuanto a la estructura familiar, predominan los hogares de tipo “Nuclear” (≈ 61%) y “Ampliado” (≈ 23%), mientras que los hogares “Compuesto” y “Corresidente” representan, en conjunto, menos del 3% de la muestra. Finalmente, en el 68% de los hogares el jefe(a) de hogar es hombre, frente a un 32% en el que es mujer.</w:t>
      </w:r>
    </w:p>
    <w:p>
      <w:pPr>
        <w:spacing w:after="120" w:before="200" w:line="360" w:lineRule="auto"/>
        <w:jc w:val="left"/>
      </w:pPr>
      <w:r>
        <w:rPr>
          <w:rFonts w:ascii="Times New Roman" w:cs="Times New Roman" w:eastAsia="Times New Roman" w:hAnsi="Times New Roman"/>
          <w:b/>
          <w:bCs/>
          <w:sz w:val="24"/>
          <w:szCs w:val="24"/>
        </w:rPr>
        <w:t xml:space="preserve">Justificación empírica del umbral de la variable respuesta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La Tabla 4 compara la distribución de clases (clase_ingreso = 0 / 1) que resultaría de aplicar distintos umbrales sobre ing_mensual, incluyendo los percentiles de la distribución muestral.</w:t>
      </w:r>
    </w:p>
    <w:p>
      <w:pPr>
        <w:spacing w:after="60" w:before="120" w:line="360" w:lineRule="auto"/>
        <w:jc w:val="left"/>
      </w:pPr>
      <w:r>
        <w:rPr>
          <w:rFonts w:ascii="Times New Roman" w:cs="Times New Roman" w:eastAsia="Times New Roman" w:hAnsi="Times New Roman"/>
          <w:i/>
          <w:iCs/>
          <w:sz w:val="24"/>
          <w:szCs w:val="24"/>
        </w:rPr>
        <w:t xml:space="preserve">Tabla 4. Balance de clases según distintos umbrales de ingreso mensual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72"/>
        <w:gridCol w:w="1800"/>
        <w:gridCol w:w="2100"/>
        <w:gridCol w:w="2100"/>
      </w:tblGrid>
      <w:tr>
        <w:tc>
          <w:tcPr>
            <w:tcW w:type="dxa" w:w="3072"/>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Umbral</w:t>
            </w:r>
          </w:p>
        </w:tc>
        <w:tc>
          <w:tcPr>
            <w:tcW w:type="dxa" w:w="18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Valor (MXN)</w:t>
            </w:r>
          </w:p>
        </w:tc>
        <w:tc>
          <w:tcPr>
            <w:tcW w:type="dxa" w:w="21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 Clase 0</w:t>
            </w:r>
            <w:r>
              <w:rPr>
                <w:rFonts w:ascii="Times New Roman" w:cs="Times New Roman" w:eastAsia="Times New Roman" w:hAnsi="Times New Roman"/>
                <w:b/>
                <w:bCs/>
                <w:sz w:val="20"/>
                <w:szCs w:val="20"/>
              </w:rPr>
              <w:br/>
              <w:t xml:space="preserve"/>
            </w:r>
            <w:r>
              <w:rPr>
                <w:rFonts w:ascii="Times New Roman" w:cs="Times New Roman" w:eastAsia="Times New Roman" w:hAnsi="Times New Roman"/>
                <w:b/>
                <w:bCs/>
                <w:sz w:val="20"/>
                <w:szCs w:val="20"/>
              </w:rPr>
              <w:t xml:space="preserve">(&lt; umbral)</w:t>
            </w:r>
          </w:p>
        </w:tc>
        <w:tc>
          <w:tcPr>
            <w:tcW w:type="dxa" w:w="21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 Clase 1</w:t>
            </w:r>
            <w:r>
              <w:rPr>
                <w:rFonts w:ascii="Times New Roman" w:cs="Times New Roman" w:eastAsia="Times New Roman" w:hAnsi="Times New Roman"/>
                <w:b/>
                <w:bCs/>
                <w:sz w:val="20"/>
                <w:szCs w:val="20"/>
              </w:rPr>
              <w:br/>
              <w:t xml:space="preserve"/>
            </w:r>
            <w:r>
              <w:rPr>
                <w:rFonts w:ascii="Times New Roman" w:cs="Times New Roman" w:eastAsia="Times New Roman" w:hAnsi="Times New Roman"/>
                <w:b/>
                <w:bCs/>
                <w:sz w:val="20"/>
                <w:szCs w:val="20"/>
              </w:rPr>
              <w:t xml:space="preserve">(≥ umbral)</w:t>
            </w:r>
          </w:p>
        </w:tc>
      </w:tr>
      <w:tr>
        <w:tc>
          <w:tcPr>
            <w:tcW w:type="dxa" w:w="30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Mediana muestral (≈ LPI urbana CONEVAL)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18,555.39</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49.99</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50.01</w:t>
            </w:r>
          </w:p>
        </w:tc>
      </w:tr>
      <w:tr>
        <w:tc>
          <w:tcPr>
            <w:tcW w:type="dxa" w:w="30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$15,000 (≈ 2 salarios mínimos, CONASAMI)</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15,000.00</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38.14</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61.86</w:t>
            </w:r>
          </w:p>
        </w:tc>
      </w:tr>
      <w:tr>
        <w:tc>
          <w:tcPr>
            <w:tcW w:type="dxa" w:w="30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Percentil 60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22,134.39</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60.00</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40.00</w:t>
            </w:r>
          </w:p>
        </w:tc>
      </w:tr>
      <w:tr>
        <w:tc>
          <w:tcPr>
            <w:tcW w:type="dxa" w:w="30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Percentil 75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29,613.58</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75.00</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25.00</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Se observa que el umbral de la mediana muestral produce un balance prácticamente perfecto entre clases (≈ 50% / 50%), además de coincidir con la Línea de Pobreza por Ingresos urbana de CONEVAL para un hogar de cuatro integrantes. El umbral de $15,000 (≈ 2 salarios mínimos) produce, en contraste, un desbalance moderado (≈ 38% / 62%), lo cual se consideró explícitamente en la etapa de modelado mediante el uso de ponderación de clases (class_weight) y validación cruzada estratificada.</w:t>
      </w:r>
    </w:p>
    <w:p>
      <w:pPr>
        <w:spacing w:after="120" w:before="200" w:line="360" w:lineRule="auto"/>
        <w:jc w:val="left"/>
      </w:pPr>
      <w:r>
        <w:rPr>
          <w:rFonts w:ascii="Times New Roman" w:cs="Times New Roman" w:eastAsia="Times New Roman" w:hAnsi="Times New Roman"/>
          <w:b/>
          <w:bCs/>
          <w:sz w:val="24"/>
          <w:szCs w:val="24"/>
        </w:rPr>
        <w:t xml:space="preserve">Valores atípicos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Aplicando el criterio de rango intercuartílico (1.5 × IQR), se identificaron valores atípicos principalmente en las variables de ingreso y composición del hogar (Tabla 5). Estos valores corresponden a hogares de ingresos muy altos o con un número elevado de integrantes/ocupados, situaciones plausibles dentro de una encuesta nacional de hogares, por lo que no se eliminaron del análisis; su efecto se evaluó únicamente sobre la elección del umbral (mediana frente a media) y no sobre la variable respuesta binaria final.</w:t>
      </w:r>
    </w:p>
    <w:p>
      <w:pPr>
        <w:spacing w:after="60" w:before="120" w:line="360" w:lineRule="auto"/>
        <w:jc w:val="left"/>
      </w:pPr>
      <w:r>
        <w:rPr>
          <w:rFonts w:ascii="Times New Roman" w:cs="Times New Roman" w:eastAsia="Times New Roman" w:hAnsi="Times New Roman"/>
          <w:i/>
          <w:iCs/>
          <w:sz w:val="24"/>
          <w:szCs w:val="24"/>
        </w:rPr>
        <w:t xml:space="preserve">Tabla 5. Valores atípicos por variable (criterio de rango intercuartílico)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72"/>
        <w:gridCol w:w="1650"/>
        <w:gridCol w:w="1650"/>
        <w:gridCol w:w="1650"/>
        <w:gridCol w:w="1650"/>
      </w:tblGrid>
      <w:tr>
        <w:tc>
          <w:tcPr>
            <w:tcW w:type="dxa" w:w="2472"/>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Variable</w:t>
            </w:r>
          </w:p>
        </w:tc>
        <w:tc>
          <w:tcPr>
            <w:tcW w:type="dxa" w:w="165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Q1</w:t>
            </w:r>
          </w:p>
        </w:tc>
        <w:tc>
          <w:tcPr>
            <w:tcW w:type="dxa" w:w="165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Q3</w:t>
            </w:r>
          </w:p>
        </w:tc>
        <w:tc>
          <w:tcPr>
            <w:tcW w:type="dxa" w:w="165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Límite superior</w:t>
            </w:r>
          </w:p>
        </w:tc>
        <w:tc>
          <w:tcPr>
            <w:tcW w:type="dxa" w:w="165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line="360" w:lineRule="auto"/>
              <w:jc w:val="center"/>
            </w:pPr>
            <w:r>
              <w:rPr>
                <w:rFonts w:ascii="Times New Roman" w:cs="Times New Roman" w:eastAsia="Times New Roman" w:hAnsi="Times New Roman"/>
                <w:b/>
                <w:bCs/>
                <w:sz w:val="20"/>
                <w:szCs w:val="20"/>
              </w:rPr>
              <w:t xml:space="preserve">% atípicos</w:t>
            </w:r>
          </w:p>
        </w:tc>
      </w:tr>
      <w:tr>
        <w:tc>
          <w:tcPr>
            <w:tcW w:type="dxa" w:w="24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Ingreso mensual</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11,506.96</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29,613.58</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56,773.51</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5.42</w:t>
            </w:r>
          </w:p>
        </w:tc>
      </w:tr>
      <w:tr>
        <w:tc>
          <w:tcPr>
            <w:tcW w:type="dxa" w:w="24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Edad del jefe(a)</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39.00</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63.00</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99.00</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0.02</w:t>
            </w:r>
          </w:p>
        </w:tc>
      </w:tr>
      <w:tr>
        <w:tc>
          <w:tcPr>
            <w:tcW w:type="dxa" w:w="24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Total de integrantes</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2.00</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4.00</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7.00</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2.23</w:t>
            </w:r>
          </w:p>
        </w:tc>
      </w:tr>
      <w:tr>
        <w:tc>
          <w:tcPr>
            <w:tcW w:type="dxa" w:w="24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Ocupados</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1.00</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2.00</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3.50</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360" w:lineRule="auto"/>
              <w:jc w:val="left"/>
            </w:pPr>
            <w:r>
              <w:rPr>
                <w:rFonts w:ascii="Times New Roman" w:cs="Times New Roman" w:eastAsia="Times New Roman" w:hAnsi="Times New Roman"/>
                <w:b w:val="false"/>
                <w:bCs w:val="false"/>
                <w:sz w:val="20"/>
                <w:szCs w:val="20"/>
              </w:rPr>
              <w:t xml:space="preserve">5.63</w:t>
            </w:r>
          </w:p>
        </w:tc>
      </w:tr>
    </w:tbl>
    <w:p>
      <w:pPr>
        <w:spacing w:after="120" w:before="200" w:line="360" w:lineRule="auto"/>
        <w:jc w:val="left"/>
      </w:pPr>
      <w:r>
        <w:rPr>
          <w:rFonts w:ascii="Times New Roman" w:cs="Times New Roman" w:eastAsia="Times New Roman" w:hAnsi="Times New Roman"/>
          <w:b/>
          <w:bCs/>
          <w:sz w:val="24"/>
          <w:szCs w:val="24"/>
        </w:rPr>
        <w:t xml:space="preserve">Relaciones entre variables numéricas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La correlación de Pearson entre el ingreso mensual y la edad del jefe(a) de hogar resultó prácticamente nula (r = -0.01), lo que sugiere que la relación entre ambas variables no es de tipo lineal, sino que podría seguir un patrón de ciclo de vida (incremento y posterior disminución del ingreso con la edad). En contraste, el número de integrantes del hogar (r = 0.13) y, en mayor medida, el número de ocupados (r = 0.18) presentan una asociación positiva débil con el ingreso mensual. Se observó además una correlación moderada entre el total de integrantes y el número de ocupados (r = 0.59), consistente con la noción de que los hogares más numerosos tienden a tener más miembros económicamente activos.</w:t>
      </w:r>
    </w:p>
    <w:p>
      <w:pPr>
        <w:spacing w:after="160" w:before="240" w:line="360" w:lineRule="auto"/>
        <w:jc w:val="both"/>
      </w:pPr>
      <w:r>
        <w:rPr>
          <w:rFonts w:ascii="Times New Roman" w:cs="Times New Roman" w:eastAsia="Times New Roman" w:hAnsi="Times New Roman"/>
          <w:b/>
          <w:bCs/>
          <w:sz w:val="24"/>
          <w:szCs w:val="24"/>
        </w:rPr>
        <w:t xml:space="preserve">REFERENCIAS</w:t>
      </w:r>
    </w:p>
    <w:p>
      <w:pPr>
        <w:spacing w:after="120" w:line="360" w:lineRule="auto"/>
        <w:jc w:val="both"/>
      </w:pPr>
      <w:r>
        <w:rPr>
          <w:rFonts w:ascii="Times New Roman" w:cs="Times New Roman" w:eastAsia="Times New Roman" w:hAnsi="Times New Roman"/>
          <w:b w:val="false"/>
          <w:bCs w:val="false"/>
          <w:i w:val="false"/>
          <w:iCs w:val="false"/>
          <w:sz w:val="24"/>
          <w:szCs w:val="24"/>
        </w:rPr>
        <w:t xml:space="preserve">Banco de México. (2024). Reportes sobre las economías regionales. https://www.banxico.org.mx/publicaciones-y-prensa/reportes-sobre-las-economias-regionales/reportes-economias-regionales.html</w:t>
      </w:r>
    </w:p>
    <w:p>
      <w:pPr>
        <w:spacing w:after="120" w:line="360" w:lineRule="auto"/>
        <w:jc w:val="both"/>
      </w:pPr>
      <w:r>
        <w:rPr>
          <w:rFonts w:ascii="Times New Roman" w:cs="Times New Roman" w:eastAsia="Times New Roman" w:hAnsi="Times New Roman"/>
          <w:b w:val="false"/>
          <w:bCs w:val="false"/>
          <w:i w:val="false"/>
          <w:iCs w:val="false"/>
          <w:sz w:val="24"/>
          <w:szCs w:val="24"/>
        </w:rPr>
        <w:t xml:space="preserve">Comisión Nacional de los Salarios Mínimos. (2024). Incremento a los salarios mínimos para 2024. Gobierno de México. https://www.gob.mx/conasami/articulos/incremento-a-los-salarios-minimos-para-2024</w:t>
      </w:r>
    </w:p>
    <w:p>
      <w:pPr>
        <w:spacing w:after="120" w:line="360" w:lineRule="auto"/>
        <w:jc w:val="both"/>
      </w:pPr>
      <w:r>
        <w:rPr>
          <w:rFonts w:ascii="Times New Roman" w:cs="Times New Roman" w:eastAsia="Times New Roman" w:hAnsi="Times New Roman"/>
          <w:b w:val="false"/>
          <w:bCs w:val="false"/>
          <w:i w:val="false"/>
          <w:iCs w:val="false"/>
          <w:sz w:val="24"/>
          <w:szCs w:val="24"/>
        </w:rPr>
        <w:t xml:space="preserve">Consejo Nacional de Evaluación de la Política de Desarrollo Social. (2024). Líneas de pobreza por ingresos. https://www.coneval.org.mx/Medicion/MP/Paginas/Lineas-de-Pobreza-por-Ingresos.aspx</w:t>
      </w:r>
    </w:p>
    <w:p>
      <w:pPr>
        <w:spacing w:after="120" w:line="360" w:lineRule="auto"/>
        <w:jc w:val="both"/>
      </w:pPr>
      <w:r>
        <w:rPr>
          <w:rFonts w:ascii="Times New Roman" w:cs="Times New Roman" w:eastAsia="Times New Roman" w:hAnsi="Times New Roman"/>
          <w:b w:val="false"/>
          <w:bCs w:val="false"/>
          <w:i w:val="false"/>
          <w:iCs w:val="false"/>
          <w:sz w:val="24"/>
          <w:szCs w:val="24"/>
        </w:rPr>
        <w:t xml:space="preserve">Instituto Nacional de Estadística y Geografía. (2024). Encuesta Nacional de Ingresos y Gastos de los Hogares (ENIGH) 2024. https://www.inegi.org.mx/programas/enigh/nc/2024/</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2026-06-13T06:43:06.435Z</dcterms:created>
  <dcterms:modified xsi:type="dcterms:W3CDTF">2026-06-13T06:43:06.436Z</dcterms:modified>
</cp:coreProperties>
</file>

<file path=docProps/custom.xml><?xml version="1.0" encoding="utf-8"?>
<Properties xmlns="http://schemas.openxmlformats.org/officeDocument/2006/custom-properties" xmlns:vt="http://schemas.openxmlformats.org/officeDocument/2006/docPropsVTypes"/>
</file>