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A119A" w14:textId="7FF04F3E" w:rsidR="00F53001" w:rsidRDefault="00E23112">
      <w:r>
        <w:rPr>
          <w:noProof/>
        </w:rPr>
        <w:drawing>
          <wp:inline distT="0" distB="0" distL="0" distR="0" wp14:anchorId="58297274" wp14:editId="7556044F">
            <wp:extent cx="3429000" cy="3429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530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12"/>
    <w:rsid w:val="00E23112"/>
    <w:rsid w:val="00F5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F0892"/>
  <w15:chartTrackingRefBased/>
  <w15:docId w15:val="{21C04778-E4D9-4DA6-BD89-25FCB727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 - Sec Invest - Vinculacion Tecnologica</dc:creator>
  <cp:keywords/>
  <dc:description/>
  <cp:lastModifiedBy>FE - Sec Invest - Vinculacion Tecnologica</cp:lastModifiedBy>
  <cp:revision>1</cp:revision>
  <dcterms:created xsi:type="dcterms:W3CDTF">2026-03-02T18:21:00Z</dcterms:created>
  <dcterms:modified xsi:type="dcterms:W3CDTF">2026-03-02T18:23:00Z</dcterms:modified>
</cp:coreProperties>
</file>