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Arquitectura técnica</w:t>
      </w:r>
    </w:p>
    <w:p>
      <w:pPr>
        <w:spacing w:after="100"/>
      </w:pPr>
      <w:r>
        <w:rPr>
          <w:color w:val="1F6E8C"/>
          <w:sz w:val="20"/>
        </w:rPr>
        <w:t>Portal de Reclamaciones | Versión de entrega | 27 de octubre de 2026</w:t>
      </w:r>
    </w:p>
    <w:p>
      <w:pPr>
        <w:pStyle w:val="Heading1"/>
      </w:pPr>
      <w:r>
        <w:t>1. Objetivo y vista lógica</w:t>
      </w:r>
    </w:p>
    <w:p>
      <w:r>
        <w:t>Backend REST para consulta y evaluación de casos de reclamación, revisión humana, simulación de lotes de pago, auditoría, indicadores y exportación CSV. La descripción corresponde al entorno local verificado; no es una certificación de producción.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4F6"/>
          </w:tcPr>
          <w:p>
            <w:pPr>
              <w:spacing w:after="20"/>
            </w:pPr>
            <w:r/>
            <w:r>
              <w:rPr>
                <w:rFonts w:ascii="Courier New" w:hAnsi="Courier New"/>
                <w:sz w:val="15"/>
              </w:rPr>
              <w:t>Cliente / Swagger UI</w:t>
              <w:br/>
              <w:t xml:space="preserve">        |</w:t>
              <w:br/>
              <w:t>Spring Security WebFlux - JWT Bearer / autoridades</w:t>
              <w:br/>
              <w:t xml:space="preserve">        |</w:t>
              <w:br/>
              <w:t>Controladores REST: Auth, Carga Excel, Evaluación, Parámetros,</w:t>
              <w:br/>
              <w:t>Revisión, Consulta, Lotes, Reportes</w:t>
              <w:br/>
              <w:t xml:space="preserve">        |</w:t>
              <w:br/>
              <w:t>Servicios de negocio: reglas, decisiones, ANS, lotes, reportes, auditoría</w:t>
              <w:br/>
              <w:t xml:space="preserve">        |</w:t>
              <w:br/>
              <w:t>Spring Data JPA / Hibernate - Repositorios</w:t>
              <w:br/>
              <w:t xml:space="preserve">        |</w:t>
              <w:br/>
              <w:t>PostgreSQL: casos, catálogos, reglas, parámetros, seguimiento,</w:t>
              <w:br/>
              <w:t>auditoría, caché de festivos y lotes</w:t>
              <w:br/>
              <w:br/>
              <w:t>FestivosColombiaService &lt;----&gt; API externa Nager.Date</w:t>
              <w:br/>
              <w:t xml:space="preserve">          |</w:t>
              <w:br/>
              <w:t xml:space="preserve">          +---- caché local en PostgreSQL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Tecnología</w:t>
            </w:r>
          </w:p>
        </w:tc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Java 17 / Spring Boot 4.1.2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Runtime y configuración.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WebFlux / Netty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Capa HTTP de la API.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Spring Security + JWT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Autenticación Bearer sin sesión y autorización.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Spring Data JPA / Hibernate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Persistencia mediante repositorios.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PostgreSQL + Flyway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Datos y migraciones; V1 aplicada.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Springdoc OpenAPI 3.2.0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Swagger UI y especificación OpenAPI.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Nager.Date + caché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Festivos; caché local y error explícito ante fallo.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5227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AuthController / SecurityConfig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Login, validación JWT y permisos de ruta.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ConsultaCasosController / RevisionCasosController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Consulta, detalle, toma, decisión y tracking.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EvaluacionController / ParametroController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Evaluación de reglas y parámetros.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LotesController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Lotes y confirmación de pago simulado.</w:t>
            </w:r>
          </w:p>
        </w:tc>
      </w:tr>
      <w:tr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ReportesController / ReportesService</w:t>
            </w:r>
          </w:p>
        </w:tc>
        <w:tc>
          <w:tcPr>
            <w:tcW w:type="dxa" w:w="522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Resumen y exportación CSV.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FestivosColombiaService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Festivos y auditoría de incidentes de API.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Flujos y API</w:t>
      </w:r>
    </w:p>
    <w:p>
      <w:pPr>
        <w:pStyle w:val="Heading2"/>
      </w:pPr>
      <w:r>
        <w:t>Autenticación y consulta</w:t>
      </w:r>
    </w:p>
    <w:p>
      <w:r>
        <w:t>El cliente envía credenciales a POST /api/auth/login. Un usuario válido recibe JWT y lo envía como Authorization: Bearer &lt;token&gt;. SecurityConfig valida el token y el claim scope habilita autoridades como SCOPE_ADMIN y SCOPE_ANALISTA.</w:t>
      </w:r>
    </w:p>
    <w:p>
      <w:pPr>
        <w:pStyle w:val="Heading2"/>
      </w:pPr>
      <w:r>
        <w:t>Evaluación y revisión humana</w:t>
      </w:r>
    </w:p>
    <w:p>
      <w:r>
        <w:t>El motor aplica 17 reglas por caso y persiste resultados para explicar la decisión y las reglas incumplidas. Los parámetros permiten ajustar umbrales. El analista toma un caso y puede emitir APROBAR u OBJETAR sujeto al estado, asignación y observación mínima configurada OBSERVACION_MIN_CARACTERES (20 caracteres en las pruebas).</w:t>
      </w:r>
    </w:p>
    <w:p>
      <w:pPr>
        <w:pStyle w:val="Heading2"/>
      </w:pPr>
      <w:r>
        <w:t>Lotes y pago simulado</w:t>
      </w:r>
    </w:p>
    <w:p>
      <w:r>
        <w:t>ADMIN o ANALISTA puede crear un lote; solo ADMIN puede confirmar el pago simulado. Estados y eventos de auditoría se registran. No hay transferencia bancaria real.</w:t>
      </w:r>
    </w:p>
    <w:p>
      <w:pPr>
        <w:pStyle w:val="Heading2"/>
      </w:pPr>
      <w:r>
        <w:t>ANS y festivos</w:t>
      </w:r>
    </w:p>
    <w:p>
      <w:r>
        <w:t>FestivosColombiaService usa la caché de festivos colombianos y consulta Nager.Date cuando es necesario. Si la API falla y no hay caché válida, devuelve SIN_FESTIVOS_VALIDOS con alerta y registra FALLO_API_FESTIVOS; no inventa fechas.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485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Ruta</w:t>
            </w:r>
          </w:p>
        </w:tc>
        <w:tc>
          <w:tcPr>
            <w:tcW w:type="dxa" w:w="3485"/>
            <w:vAlign w:val="center"/>
            <w:shd w:fill="12304A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Acceso conocido</w:t>
            </w:r>
          </w:p>
        </w:tc>
      </w:tr>
      <w:tr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Login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/api/auth/login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Público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Consulta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GET /api/casos; GET /api/casos/{id}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JWT</w:t>
            </w:r>
          </w:p>
        </w:tc>
      </w:tr>
      <w:tr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Seguimiento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GET /api/casos/{id}/tracking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JWT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Revisión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/api/casos/{codigo}/tomar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ANALISTA</w:t>
            </w:r>
          </w:p>
        </w:tc>
      </w:tr>
      <w:tr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Decisión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PATCH /api/casos/{codigo}/estado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JWT + validaciones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Parámetros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PUT /api/parametros/**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ADMIN</w:t>
            </w:r>
          </w:p>
        </w:tc>
      </w:tr>
      <w:tr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Lotes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POST /api/lotes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ADMIN o ANALISTA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Pago simulado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PATCH /api/lotes/{id}/pagar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ADMIN</w:t>
            </w:r>
          </w:p>
        </w:tc>
      </w:tr>
      <w:tr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Reportes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GET /api/reportes/resumen; /api/reportes/exportar</w:t>
            </w:r>
          </w:p>
        </w:tc>
        <w:tc>
          <w:tcPr>
            <w:tcW w:type="dxa" w:w="3485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B2730"/>
                <w:sz w:val="14"/>
              </w:rPr>
              <w:t>JWT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7"/>
          </w:tcPr>
          <w:p>
            <w:pPr>
              <w:spacing w:after="20"/>
            </w:pPr>
            <w:r/>
            <w:r>
              <w:rPr>
                <w:b/>
                <w:color w:val="12304A"/>
                <w:sz w:val="17"/>
              </w:rPr>
              <w:t xml:space="preserve">NOTA  </w:t>
            </w:r>
            <w:r>
              <w:rPr>
                <w:sz w:val="16"/>
              </w:rPr>
              <w:t>Swagger UI está en /swagger-ui.html y OpenAPI JSON en /v3/api-docs. Actualmente la documentación es pública; los recursos de negocio siguen protegidos. Pruebas: OpenAPI 200 sin token y /api/casos 401 sin token.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Persistencia, verificación y operación</w:t>
      </w:r>
    </w:p>
    <w:p>
      <w:pPr>
        <w:pStyle w:val="ListBullet"/>
        <w:spacing w:after="40"/>
        <w:ind w:left="274" w:hanging="187"/>
      </w:pPr>
      <w:r>
        <w:t>Base de datos local observada: sura_reclamaciones. Flyway confirmó V1 aplicada y esquema al día.</w:t>
      </w:r>
    </w:p>
    <w:p>
      <w:pPr>
        <w:pStyle w:val="ListBullet"/>
        <w:spacing w:after="40"/>
        <w:ind w:left="274" w:hanging="187"/>
      </w:pPr>
      <w:r>
        <w:t>El insumo Excel se cargó una sola vez: 60 casos y catálogos. El motor registró 1.020 evaluaciones individuales (17 por cada caso).</w:t>
      </w:r>
    </w:p>
    <w:p>
      <w:pPr>
        <w:pStyle w:val="ListBullet"/>
        <w:spacing w:after="40"/>
        <w:ind w:left="274" w:hanging="187"/>
      </w:pPr>
      <w:r>
        <w:t>Tras ajustar MONTO_AUTO_BASICO, el resultado observado fue 30 AUTOMATICO y 30 MANUAL.</w:t>
      </w:r>
    </w:p>
    <w:p>
      <w:pPr>
        <w:pStyle w:val="ListBullet"/>
        <w:spacing w:after="40"/>
        <w:ind w:left="274" w:hanging="187"/>
      </w:pPr>
      <w:r>
        <w:t>FECHA_REFERENCIA se mantiene en 2026-10-14 según el escenario de prueba.</w:t>
      </w:r>
    </w:p>
    <w:p>
      <w:pPr>
        <w:pStyle w:val="ListBullet"/>
        <w:spacing w:after="40"/>
        <w:ind w:left="274" w:hanging="187"/>
      </w:pPr>
      <w:r>
        <w:t>Se confirmó un lote simulado de 31 casos; estado observado: 31 cerrados y 29 en bandeja.</w:t>
      </w:r>
    </w:p>
    <w:p>
      <w:pPr>
        <w:pStyle w:val="ListBullet"/>
        <w:spacing w:after="40"/>
        <w:ind w:left="274" w:hanging="187"/>
      </w:pPr>
      <w:r>
        <w:t>CSV validado: 60 filas con ID_Caso, Decision, Reglas_Incumplidas, Motivo, Prioridad, Estado_Actual, Fecha_Limite_ANS y Semaforo_ANS, en ese orden.</w:t>
      </w:r>
    </w:p>
    <w:p>
      <w:pPr>
        <w:pStyle w:val="Heading2"/>
      </w:pPr>
      <w:r>
        <w:t>Compilar y ejecutar en Windows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4F6"/>
          </w:tcPr>
          <w:p>
            <w:pPr>
              <w:spacing w:after="20"/>
            </w:pPr>
            <w:r/>
            <w:r>
              <w:rPr>
                <w:rFonts w:ascii="Courier New" w:hAnsi="Courier New"/>
                <w:sz w:val="15"/>
              </w:rPr>
              <w:t>.\mvnw.cmd clean verify</w:t>
              <w:br/>
              <w:t>.\mvnw.cmd spring-boot:run</w:t>
            </w:r>
          </w:p>
        </w:tc>
      </w:tr>
    </w:tbl>
    <w:p>
      <w:pPr>
        <w:spacing w:after="0"/>
      </w:pPr>
    </w:p>
    <w:p>
      <w:r>
        <w:t>Requisitos observados: JDK 17, Maven Wrapper y PostgreSQL configurado en src/main/resources/application.properties. La última ejecución clean verify terminó en BUILD SUCCESS, con 2 pruebas y 0 fallos. Una prueba inicia el contexto; la otra simula fallo de la API de festivos con caché vacía y verifica el resultado y la auditoría.</w:t>
      </w:r>
    </w:p>
    <w:p>
      <w:pPr>
        <w:pStyle w:val="Heading2"/>
      </w:pPr>
      <w:r>
        <w:t>Decisiones y límites</w:t>
      </w:r>
    </w:p>
    <w:p>
      <w:pPr>
        <w:pStyle w:val="ListBullet"/>
        <w:spacing w:after="40"/>
        <w:ind w:left="274" w:hanging="187"/>
      </w:pPr>
      <w:r>
        <w:t>No modificar Flyway V1 ni reimportar Excel para probar endpoints; los estados e historiales son parte de la demostración.</w:t>
      </w:r>
    </w:p>
    <w:p>
      <w:pPr>
        <w:pStyle w:val="ListBullet"/>
        <w:spacing w:after="40"/>
        <w:ind w:left="274" w:hanging="187"/>
      </w:pPr>
      <w:r>
        <w:t>Copiar resultados_reclamaciones_prueba.csv desde Descargas a la carpeta final de entrega.</w:t>
      </w:r>
    </w:p>
    <w:p>
      <w:pPr>
        <w:pStyle w:val="ListBullet"/>
        <w:spacing w:after="40"/>
        <w:ind w:left="274" w:hanging="187"/>
      </w:pPr>
      <w:r>
        <w:t>Antes de producción revisar perfil de Swagger, HTTPS, CORS, respaldos, monitoreo, rotación de secretos y ciclo de vida JWT; no están demostrados por estas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875"/>
        <w:sz w:val="14"/>
      </w:rPr>
      <w:t xml:space="preserve">Documento de evaluación técnica • 27-oct-2026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86875"/>
        <w:sz w:val="14"/>
      </w:rPr>
      <w:t>PORTAL DE RECLAMACIONES  |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1B27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6E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5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