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Informe de seguridad</w:t>
      </w:r>
    </w:p>
    <w:p>
      <w:pPr>
        <w:spacing w:after="100"/>
      </w:pPr>
      <w:r>
        <w:rPr>
          <w:color w:val="1F6E8C"/>
          <w:sz w:val="20"/>
        </w:rPr>
        <w:t>Portal de Reclamaciones | Versión de entrega | 27 de octubre de 2026</w:t>
      </w:r>
    </w:p>
    <w:p>
      <w:pPr>
        <w:pStyle w:val="Heading1"/>
      </w:pPr>
      <w:r>
        <w:t>1. Resumen, autenticación y autorización</w:t>
      </w:r>
    </w:p>
    <w:p>
      <w:r>
        <w:t>Se verificaron controles básicos de JWT, autorización por rol, rechazo de solicitudes sin token y registro de auditoría. Este documento describe el entorno local de evaluación; no es una auditoría independiente ni una certificación.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7"/>
          </w:tcPr>
          <w:p>
            <w:pPr>
              <w:spacing w:after="20"/>
            </w:pPr>
            <w:r/>
            <w:r>
              <w:rPr>
                <w:b/>
                <w:color w:val="12304A"/>
                <w:sz w:val="17"/>
              </w:rPr>
              <w:t xml:space="preserve">NOTA  </w:t>
            </w:r>
            <w:r>
              <w:rPr>
                <w:sz w:val="16"/>
              </w:rPr>
              <w:t>Resultados de smoke test: GET /v3/api-docs sin JWT = HTTP 200; GET /api/casos sin JWT = HTTP 401; el intento de ANALISTA de confirmar lote fue rechazado con HTTP 403.</w:t>
            </w:r>
          </w:p>
        </w:tc>
      </w:tr>
    </w:tbl>
    <w:p>
      <w:pPr>
        <w:spacing w:after="0"/>
      </w:pPr>
    </w:p>
    <w:p>
      <w:pPr>
        <w:pStyle w:val="Heading2"/>
      </w:pPr>
      <w:r>
        <w:t>Autenticación y sesión</w:t>
      </w:r>
    </w:p>
    <w:p>
      <w:pPr>
        <w:pStyle w:val="ListBullet"/>
        <w:spacing w:after="40"/>
        <w:ind w:left="274" w:hanging="187"/>
      </w:pPr>
      <w:r>
        <w:t>POST /api/auth/login permite enviar credenciales y entrega JWT a usuarios válidos.</w:t>
      </w:r>
    </w:p>
    <w:p>
      <w:pPr>
        <w:pStyle w:val="ListBullet"/>
        <w:spacing w:after="40"/>
        <w:ind w:left="274" w:hanging="187"/>
      </w:pPr>
      <w:r>
        <w:t>Las rutas protegidas reciben Authorization: Bearer &lt;token&gt;; Spring Security valida el JWT en cada petición.</w:t>
      </w:r>
    </w:p>
    <w:p>
      <w:pPr>
        <w:pStyle w:val="ListBullet"/>
        <w:spacing w:after="40"/>
        <w:ind w:left="274" w:hanging="187"/>
      </w:pPr>
      <w:r>
        <w:t>NoOpServerSecurityContextRepository evita mantener sesión de servidor. HTTP Basic, login estándar, logout estándar y CSRF están desactivados para el modelo Bearer previsto. Si se usan cookies, reevaluar CSRF.</w:t>
      </w:r>
    </w:p>
    <w:p>
      <w:pPr>
        <w:pStyle w:val="ListBullet"/>
        <w:spacing w:after="40"/>
        <w:ind w:left="274" w:hanging="187"/>
      </w:pPr>
      <w:r>
        <w:t>La validación usa HS256. app.jwt.secret se alimenta de configuración externa JWT_SECRET; la clave Base64 debe decodificar al menos 32 bytes.</w:t>
      </w:r>
    </w:p>
    <w:p>
      <w:pPr>
        <w:pStyle w:val="ListBullet"/>
        <w:spacing w:after="40"/>
        <w:ind w:left="274" w:hanging="187"/>
      </w:pPr>
      <w:r>
        <w:t>No se confirmó expiración exacta, renovación, revocación ni rotación del token; no asumir estos controles sin prueba.</w:t>
      </w:r>
    </w:p>
    <w:p>
      <w:pPr>
        <w:pStyle w:val="Heading2"/>
      </w:pPr>
      <w:r>
        <w:t>Autorización observada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Operación</w:t>
            </w:r>
          </w:p>
        </w:tc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 /api/auth/login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Pública.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Swagger UI y /v3/api-docs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Públicos en el perfil de evaluación.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PUT /api/parametros/**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SCOPE_ADMIN.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PATCH /api/lotes/{id}/pagar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SCOPE_ADMIN.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 /api/casos/{codigo}/tomar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SCOPE_ANALISTA.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 /api/lotes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SCOPE_ANALISTA o SCOPE_ADMIN.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Resto de rutas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Autenticación salvo excepciones.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Decisión de caso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JWT más validación de estado/asignación/observación.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Datos, auditoría y pruebas</w:t>
      </w:r>
    </w:p>
    <w:p>
      <w:pPr>
        <w:pStyle w:val="Heading2"/>
      </w:pPr>
      <w:r>
        <w:t>Protección de datos y trazabilidad</w:t>
      </w:r>
    </w:p>
    <w:p>
      <w:pPr>
        <w:pStyle w:val="ListBullet"/>
        <w:spacing w:after="40"/>
        <w:ind w:left="274" w:hanging="187"/>
      </w:pPr>
      <w:r>
        <w:t>El listado de casos enmascara documentos; el detalle autenticado puede mostrar el dato completo según el caso de uso.</w:t>
      </w:r>
    </w:p>
    <w:p>
      <w:pPr>
        <w:pStyle w:val="ListBullet"/>
        <w:spacing w:after="40"/>
        <w:ind w:left="274" w:hanging="187"/>
      </w:pPr>
      <w:r>
        <w:t>Se observaron eventos de auditoría/seguimiento para cambios de parámetros, toma y decisión de caso, y creación/confirmación de lote.</w:t>
      </w:r>
    </w:p>
    <w:p>
      <w:pPr>
        <w:pStyle w:val="ListBullet"/>
        <w:spacing w:after="40"/>
        <w:ind w:left="274" w:hanging="187"/>
      </w:pPr>
      <w:r>
        <w:t>La observación de decisión valida longitud mínima. La observación breve probada fue rechazada con HTTP 400 y no modificó el estado del caso.</w:t>
      </w:r>
    </w:p>
    <w:p>
      <w:pPr>
        <w:pStyle w:val="ListBullet"/>
        <w:spacing w:after="40"/>
        <w:ind w:left="274" w:hanging="187"/>
      </w:pPr>
      <w:r>
        <w:t>La exportación CSV se comprobó con 60 filas y ocho encabezados. En la revisión realizada no hubo fórmulas peligrosas sin neutralizar; repetir ante cambios del exportador.</w:t>
      </w:r>
    </w:p>
    <w:p>
      <w:pPr>
        <w:pStyle w:val="ListBullet"/>
        <w:spacing w:after="40"/>
        <w:ind w:left="274" w:hanging="187"/>
      </w:pPr>
      <w:r>
        <w:t>La prueba de festivos simula API inaccesible y caché vacía; verifica SIN_FESTIVOS_VALIDOS, alerta ANS y evento FALLO_API_FESTIVOS usando repositorios simulados.</w:t>
      </w:r>
    </w:p>
    <w:p>
      <w:pPr>
        <w:pStyle w:val="ListBullet"/>
        <w:spacing w:after="40"/>
        <w:ind w:left="274" w:hanging="187"/>
      </w:pPr>
      <w:r>
        <w:t>El lote comprobado es un pago simulado, sin transferencia monetaria real.</w:t>
      </w:r>
    </w:p>
    <w:p>
      <w:pPr>
        <w:pStyle w:val="Heading2"/>
      </w:pPr>
      <w:r>
        <w:t>Evidencias ejecutadas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Verificación</w:t>
            </w:r>
          </w:p>
        </w:tc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mvnw clean verify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BUILD SUCCESS; 2 pruebas, 0 fallos/errores.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OpenAPI sin token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HTTP 200.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GET /api/casos sin token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HTTP 401.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ANALISTA confirma lote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HTTP 403.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ADMIN confirma lote simulado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Flujo completado y auditoría registrada.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Observación muy breve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HTTP 400; sin transición por esa petición.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API festivos sin caché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Resultado no validado y auditoría simulada.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CSV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60 filas y 8 columnas; no se detectó fórmula sin neutralizar.</w:t>
            </w:r>
          </w:p>
        </w:tc>
      </w:tr>
    </w:tbl>
    <w:p>
      <w:pPr>
        <w:spacing w:after="0"/>
      </w:pPr>
    </w:p>
    <w:p>
      <w:pPr>
        <w:pStyle w:val="Heading2"/>
      </w:pPr>
      <w:r>
        <w:t>Exposición de Swagger</w:t>
      </w:r>
    </w:p>
    <w:p>
      <w:r>
        <w:t>Swagger UI /swagger-ui.html y OpenAPI /v3/api-docs son públicos en el perfil actual, lo que facilita la evaluación pero revela la estructura de la API. El smoke test confirma que /api/casos permanece protegido. En producción, deshabilitar la documentación por perfil o restringirla por rol/red.</w:t>
      </w:r>
    </w:p>
    <w:p>
      <w:r>
        <w:br w:type="page"/>
      </w:r>
    </w:p>
    <w:p>
      <w:pPr>
        <w:pStyle w:val="Heading1"/>
      </w:pPr>
      <w:r>
        <w:t>3. Riesgos residuales y recomendaciones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Acción recomendada antes de producción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Ciclo de vida JWT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Documentar/probar vencimiento, renovación, revocación, rotación de clave y compromiso.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Intentos de acceso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Verificar rate limit o bloqueo progresivo y alertas sobre fallos repetidos de login.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Transporte y secretos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Usar HTTPS, no guardar secretos en repositorio, limitar acceso y rotar claves.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CORS y encabezados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Definir orígenes, métodos y encabezados permitidos para el despliegue.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Autorización por objeto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Agregar pruebas negativas por rol y validar permisos en cada detalle.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Auditoría y datos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Definir retención, acceso a auditoría y minimización en listado/exportación.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Continuidad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Definir copias y recuperación de PostgreSQL y monitoreo de errores.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Pruebas adicionales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Cubrir firma inválida/expiración JWT, permisos, fórmulas CSV, concurrencia de lotes y festivos con/sin caché.</w:t>
            </w:r>
          </w:p>
        </w:tc>
      </w:tr>
    </w:tbl>
    <w:p>
      <w:pPr>
        <w:spacing w:after="0"/>
      </w:pPr>
    </w:p>
    <w:p>
      <w:pPr>
        <w:pStyle w:val="Heading2"/>
      </w:pPr>
      <w:r>
        <w:t>Conclusión</w:t>
      </w:r>
    </w:p>
    <w:p>
      <w:r>
        <w:t>En el entorno local ensayado funcionan los controles básicos: los recursos de negocio requieren JWT, el pago simulado está restringido a ADMIN, los flujos principales generan trazabilidad y el fallo de festivos se comunica sin inventar fechas. Los temas de esta sección son pendientes de endurecimiento, no controles demostrados. Repetir validaciones con la configuración real del despliegue.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875"/>
        <w:sz w:val="14"/>
      </w:rPr>
      <w:t xml:space="preserve">Documento de evaluación técnica • 27-oct-2026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86875"/>
        <w:sz w:val="14"/>
      </w:rPr>
      <w:t>PORTAL DE RECLAMACIONES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1B27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6E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5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