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84121B" w14:textId="77777777" w:rsidR="004B1719" w:rsidRDefault="004B1719">
      <w:pPr>
        <w:spacing w:before="600" w:after="600"/>
      </w:pPr>
    </w:p>
    <w:p w14:paraId="2CB79E1B" w14:textId="77777777" w:rsidR="004B1719" w:rsidRDefault="00000000">
      <w:pPr>
        <w:spacing w:after="100"/>
        <w:jc w:val="center"/>
      </w:pPr>
      <w:r>
        <w:rPr>
          <w:rFonts w:ascii="Calibri" w:eastAsia="Calibri" w:hAnsi="Calibri" w:cs="Calibri"/>
          <w:color w:val="666666"/>
          <w:sz w:val="24"/>
          <w:szCs w:val="24"/>
        </w:rPr>
        <w:t>SOBRE LA REGULARIDAD DE</w:t>
      </w:r>
    </w:p>
    <w:p w14:paraId="1B3934DF" w14:textId="77777777" w:rsidR="004B1719" w:rsidRDefault="00000000">
      <w:pPr>
        <w:spacing w:after="80"/>
        <w:jc w:val="center"/>
      </w:pPr>
      <w:r>
        <w:rPr>
          <w:rFonts w:ascii="Calibri" w:eastAsia="Calibri" w:hAnsi="Calibri" w:cs="Calibri"/>
          <w:b/>
          <w:bCs/>
          <w:color w:val="1A1A2E"/>
          <w:sz w:val="48"/>
          <w:szCs w:val="48"/>
        </w:rPr>
        <w:t>NAVIER-STOKES EN 3D</w:t>
      </w:r>
    </w:p>
    <w:p w14:paraId="7CAE184A" w14:textId="77777777" w:rsidR="004B1719" w:rsidRDefault="00000000">
      <w:pPr>
        <w:spacing w:after="200"/>
        <w:jc w:val="center"/>
      </w:pPr>
      <w:r>
        <w:rPr>
          <w:rFonts w:ascii="Calibri" w:eastAsia="Calibri" w:hAnsi="Calibri" w:cs="Calibri"/>
          <w:color w:val="0F3460"/>
          <w:sz w:val="28"/>
          <w:szCs w:val="28"/>
        </w:rPr>
        <w:t>Una hipótesis energético-variacional</w:t>
      </w:r>
    </w:p>
    <w:p w14:paraId="3DE6C173" w14:textId="77777777" w:rsidR="004B1719" w:rsidRDefault="00000000">
      <w:pPr>
        <w:spacing w:before="200" w:after="200"/>
        <w:jc w:val="center"/>
      </w:pPr>
      <w:r>
        <w:rPr>
          <w:color w:val="999999"/>
        </w:rPr>
        <w:t>———</w:t>
      </w:r>
    </w:p>
    <w:p w14:paraId="58982846" w14:textId="77777777" w:rsidR="004B1719" w:rsidRDefault="00000000">
      <w:pPr>
        <w:spacing w:after="60"/>
        <w:jc w:val="center"/>
      </w:pPr>
      <w:r>
        <w:rPr>
          <w:i/>
          <w:iCs/>
          <w:color w:val="555555"/>
        </w:rPr>
        <w:t>Premisas y conjeturas derivadas de un diálogo</w:t>
      </w:r>
    </w:p>
    <w:p w14:paraId="604DFAEA" w14:textId="77777777" w:rsidR="004B1719" w:rsidRDefault="00000000">
      <w:pPr>
        <w:spacing w:after="60"/>
        <w:jc w:val="center"/>
      </w:pPr>
      <w:r>
        <w:rPr>
          <w:i/>
          <w:iCs/>
          <w:color w:val="555555"/>
        </w:rPr>
        <w:t>entre un arquitecto y una inteligencia artificial</w:t>
      </w:r>
    </w:p>
    <w:p w14:paraId="2A9FDC05" w14:textId="77777777" w:rsidR="004B1719" w:rsidRDefault="004B1719">
      <w:pPr>
        <w:spacing w:before="200" w:after="200"/>
      </w:pPr>
    </w:p>
    <w:p w14:paraId="51C86CB4" w14:textId="737EE11D" w:rsidR="004B1719" w:rsidRPr="00315D0F" w:rsidRDefault="00315D0F">
      <w:pPr>
        <w:spacing w:after="60"/>
        <w:jc w:val="center"/>
        <w:rPr>
          <w:lang w:val="en-US"/>
        </w:rPr>
      </w:pPr>
      <w:r>
        <w:rPr>
          <w:rFonts w:ascii="Calibri" w:eastAsia="Calibri" w:hAnsi="Calibri" w:cs="Calibri"/>
          <w:color w:val="444444"/>
          <w:sz w:val="20"/>
          <w:szCs w:val="20"/>
          <w:lang w:val="en-US"/>
        </w:rPr>
        <w:t xml:space="preserve">Diego-dcv </w:t>
      </w:r>
      <w:r w:rsidR="00000000" w:rsidRPr="00315D0F">
        <w:rPr>
          <w:rFonts w:ascii="Calibri" w:eastAsia="Calibri" w:hAnsi="Calibri" w:cs="Calibri"/>
          <w:color w:val="444444"/>
          <w:sz w:val="20"/>
          <w:szCs w:val="20"/>
          <w:lang w:val="en-US"/>
        </w:rPr>
        <w:t>&amp; Claude (Anthropic)</w:t>
      </w:r>
    </w:p>
    <w:p w14:paraId="10FF1AC6" w14:textId="77777777" w:rsidR="004B1719" w:rsidRPr="00315D0F" w:rsidRDefault="00000000">
      <w:pPr>
        <w:spacing w:after="400"/>
        <w:jc w:val="center"/>
        <w:rPr>
          <w:lang w:val="en-US"/>
        </w:rPr>
      </w:pPr>
      <w:proofErr w:type="spellStart"/>
      <w:r w:rsidRPr="00315D0F">
        <w:rPr>
          <w:rFonts w:ascii="Calibri" w:eastAsia="Calibri" w:hAnsi="Calibri" w:cs="Calibri"/>
          <w:color w:val="444444"/>
          <w:sz w:val="20"/>
          <w:szCs w:val="20"/>
          <w:lang w:val="en-US"/>
        </w:rPr>
        <w:t>Febrero</w:t>
      </w:r>
      <w:proofErr w:type="spellEnd"/>
      <w:r w:rsidRPr="00315D0F">
        <w:rPr>
          <w:rFonts w:ascii="Calibri" w:eastAsia="Calibri" w:hAnsi="Calibri" w:cs="Calibri"/>
          <w:color w:val="444444"/>
          <w:sz w:val="20"/>
          <w:szCs w:val="20"/>
          <w:lang w:val="en-US"/>
        </w:rPr>
        <w:t xml:space="preserve"> 2026</w:t>
      </w:r>
    </w:p>
    <w:p w14:paraId="25B2C831" w14:textId="77777777" w:rsidR="004B1719" w:rsidRPr="00315D0F" w:rsidRDefault="00000000">
      <w:pPr>
        <w:spacing w:before="200" w:after="100"/>
        <w:ind w:left="720" w:right="720"/>
        <w:rPr>
          <w:lang w:val="en-US"/>
        </w:rPr>
      </w:pPr>
      <w:r w:rsidRPr="00315D0F">
        <w:rPr>
          <w:i/>
          <w:iCs/>
          <w:color w:val="555555"/>
          <w:sz w:val="24"/>
          <w:szCs w:val="24"/>
          <w:lang w:val="en-US"/>
        </w:rPr>
        <w:t>“</w:t>
      </w:r>
      <w:r w:rsidRPr="00315D0F">
        <w:rPr>
          <w:i/>
          <w:iCs/>
          <w:color w:val="555555"/>
          <w:sz w:val="20"/>
          <w:szCs w:val="20"/>
          <w:lang w:val="en-US"/>
        </w:rPr>
        <w:t>Turbulence is the most important unsolved problem of classical physics.</w:t>
      </w:r>
      <w:r w:rsidRPr="00315D0F">
        <w:rPr>
          <w:i/>
          <w:iCs/>
          <w:color w:val="555555"/>
          <w:sz w:val="24"/>
          <w:szCs w:val="24"/>
          <w:lang w:val="en-US"/>
        </w:rPr>
        <w:t>”</w:t>
      </w:r>
      <w:r w:rsidRPr="00315D0F">
        <w:rPr>
          <w:color w:val="777777"/>
          <w:sz w:val="18"/>
          <w:szCs w:val="18"/>
          <w:lang w:val="en-US"/>
        </w:rPr>
        <w:t xml:space="preserve">  — Richard Feynman, Lectures on Physics</w:t>
      </w:r>
    </w:p>
    <w:p w14:paraId="56B6C45C" w14:textId="77777777" w:rsidR="004B1719" w:rsidRPr="00315D0F" w:rsidRDefault="004B1719">
      <w:pPr>
        <w:spacing w:before="100" w:after="100"/>
        <w:rPr>
          <w:lang w:val="en-US"/>
        </w:rPr>
      </w:pPr>
    </w:p>
    <w:p w14:paraId="3C97DEFB" w14:textId="77777777" w:rsidR="004B1719" w:rsidRDefault="00000000">
      <w:pPr>
        <w:spacing w:before="200" w:after="100"/>
        <w:ind w:left="720" w:right="720"/>
      </w:pPr>
      <w:r w:rsidRPr="00315D0F">
        <w:rPr>
          <w:i/>
          <w:iCs/>
          <w:color w:val="555555"/>
          <w:sz w:val="24"/>
          <w:szCs w:val="24"/>
          <w:lang w:val="en-US"/>
        </w:rPr>
        <w:t>“</w:t>
      </w:r>
      <w:r w:rsidRPr="00315D0F">
        <w:rPr>
          <w:i/>
          <w:iCs/>
          <w:color w:val="555555"/>
          <w:sz w:val="20"/>
          <w:szCs w:val="20"/>
          <w:lang w:val="en-US"/>
        </w:rPr>
        <w:t>If I could go back in time and ask God two questions, they would be: why relativity, and why turbulence? I think He may have an answer for the first.</w:t>
      </w:r>
      <w:r w:rsidRPr="00315D0F">
        <w:rPr>
          <w:i/>
          <w:iCs/>
          <w:color w:val="555555"/>
          <w:sz w:val="24"/>
          <w:szCs w:val="24"/>
          <w:lang w:val="en-US"/>
        </w:rPr>
        <w:t>”</w:t>
      </w:r>
      <w:r w:rsidRPr="00315D0F">
        <w:rPr>
          <w:color w:val="777777"/>
          <w:sz w:val="18"/>
          <w:szCs w:val="18"/>
          <w:lang w:val="en-US"/>
        </w:rPr>
        <w:t xml:space="preserve">  </w:t>
      </w:r>
      <w:r>
        <w:rPr>
          <w:color w:val="777777"/>
          <w:sz w:val="18"/>
          <w:szCs w:val="18"/>
        </w:rPr>
        <w:t>— Atribuido a Werner Heisenberg</w:t>
      </w:r>
    </w:p>
    <w:p w14:paraId="295209B1" w14:textId="77777777" w:rsidR="004B1719" w:rsidRDefault="00000000">
      <w:r>
        <w:br w:type="page"/>
      </w:r>
    </w:p>
    <w:p w14:paraId="4B4AA238" w14:textId="77777777" w:rsidR="004B1719" w:rsidRDefault="00000000">
      <w:pPr>
        <w:pStyle w:val="Ttulo1"/>
      </w:pPr>
      <w:r>
        <w:rPr>
          <w:color w:val="1A1A2E"/>
        </w:rPr>
        <w:lastRenderedPageBreak/>
        <w:t>Nota previa: naturaleza y límites de este documento</w:t>
      </w:r>
    </w:p>
    <w:p w14:paraId="093E0CCC" w14:textId="58A6832B" w:rsidR="004B1719" w:rsidRDefault="00000000">
      <w:pPr>
        <w:spacing w:after="160" w:line="320" w:lineRule="auto"/>
        <w:ind w:firstLine="360"/>
        <w:jc w:val="both"/>
      </w:pPr>
      <w:r>
        <w:rPr>
          <w:color w:val="1A1A1A"/>
        </w:rPr>
        <w:t>Este documento no es un artículo académico ni pretende serlo. Es la destilación de una conversación exploratoria entre un arquitecto con formación técnica e intuición física</w:t>
      </w:r>
      <w:r w:rsidR="00315D0F">
        <w:rPr>
          <w:color w:val="1A1A1A"/>
        </w:rPr>
        <w:t xml:space="preserve"> (Diego-</w:t>
      </w:r>
      <w:proofErr w:type="spellStart"/>
      <w:r w:rsidR="00315D0F">
        <w:rPr>
          <w:color w:val="1A1A1A"/>
        </w:rPr>
        <w:t>dcv</w:t>
      </w:r>
      <w:proofErr w:type="spellEnd"/>
      <w:r>
        <w:rPr>
          <w:color w:val="1A1A1A"/>
        </w:rPr>
        <w:t xml:space="preserve">) y un modelo de lenguaje (Claude, </w:t>
      </w:r>
      <w:proofErr w:type="spellStart"/>
      <w:r>
        <w:rPr>
          <w:color w:val="1A1A1A"/>
        </w:rPr>
        <w:t>Anthropic</w:t>
      </w:r>
      <w:proofErr w:type="spellEnd"/>
      <w:r>
        <w:rPr>
          <w:color w:val="1A1A1A"/>
        </w:rPr>
        <w:t>), en la que se llegó —por un camino no convencional— a una formulación del problema de regularidad de Navier-Stokes que resulta alineada con lo que la comunidad matemática considera la dirección correcta, pero desde una intuición físico-estructural que rara vez aparece en la literatura formal.</w:t>
      </w:r>
    </w:p>
    <w:p w14:paraId="2C7DA868" w14:textId="77777777" w:rsidR="004B1719" w:rsidRDefault="00000000">
      <w:pPr>
        <w:spacing w:after="160" w:line="320" w:lineRule="auto"/>
        <w:ind w:firstLine="360"/>
        <w:jc w:val="both"/>
      </w:pPr>
      <w:r>
        <w:rPr>
          <w:color w:val="1A1A1A"/>
        </w:rPr>
        <w:t xml:space="preserve">Lo que aquí se presenta no es una demostración. Es un </w:t>
      </w:r>
      <w:r>
        <w:rPr>
          <w:b/>
          <w:bCs/>
          <w:color w:val="1A1A1A"/>
        </w:rPr>
        <w:t>marco de intuiciones formalizables</w:t>
      </w:r>
      <w:r>
        <w:rPr>
          <w:color w:val="1A1A1A"/>
        </w:rPr>
        <w:t xml:space="preserve"> y una </w:t>
      </w:r>
      <w:r>
        <w:rPr>
          <w:b/>
          <w:bCs/>
          <w:color w:val="1A1A1A"/>
        </w:rPr>
        <w:t>conjetura específica</w:t>
      </w:r>
      <w:r>
        <w:rPr>
          <w:color w:val="1A1A1A"/>
        </w:rPr>
        <w:t xml:space="preserve"> que creemos que un matemático con formación en EDP no lineales, análisis funcional y teoría de fluidos podría evaluar, refutar o —en el mejor caso— desarrollar hacia algo riguroso.</w:t>
      </w:r>
    </w:p>
    <w:p w14:paraId="6BB25D65" w14:textId="77777777" w:rsidR="004B1719" w:rsidRDefault="00000000">
      <w:pPr>
        <w:spacing w:after="160" w:line="320" w:lineRule="auto"/>
        <w:ind w:firstLine="360"/>
        <w:jc w:val="both"/>
      </w:pPr>
      <w:r>
        <w:rPr>
          <w:color w:val="1A1A1A"/>
        </w:rPr>
        <w:t xml:space="preserve">Señalamos explícitamente dónde cada idea es sólida, dónde es especulativa y dónde probablemente se rompe. No pretendemos haber resuelto nada. Pretendemos haber identificado </w:t>
      </w:r>
      <w:r>
        <w:rPr>
          <w:i/>
          <w:iCs/>
          <w:color w:val="1A1A1A"/>
        </w:rPr>
        <w:t>dónde mirar</w:t>
      </w:r>
      <w:r>
        <w:rPr>
          <w:color w:val="1A1A1A"/>
        </w:rPr>
        <w:t xml:space="preserve"> y </w:t>
      </w:r>
      <w:r>
        <w:rPr>
          <w:i/>
          <w:iCs/>
          <w:color w:val="1A1A1A"/>
        </w:rPr>
        <w:t>por qué</w:t>
      </w:r>
      <w:r>
        <w:rPr>
          <w:color w:val="1A1A1A"/>
        </w:rPr>
        <w:t>.</w:t>
      </w:r>
    </w:p>
    <w:p w14:paraId="34B5CDB3" w14:textId="77777777" w:rsidR="004B1719" w:rsidRDefault="00000000">
      <w:r>
        <w:br w:type="page"/>
      </w:r>
    </w:p>
    <w:p w14:paraId="3DA115FB" w14:textId="77777777" w:rsidR="004B1719" w:rsidRDefault="00000000">
      <w:pPr>
        <w:pStyle w:val="Ttulo1"/>
      </w:pPr>
      <w:r>
        <w:rPr>
          <w:color w:val="1A1A2E"/>
        </w:rPr>
        <w:lastRenderedPageBreak/>
        <w:t>1. El problema</w:t>
      </w:r>
    </w:p>
    <w:p w14:paraId="67D522BC" w14:textId="77777777" w:rsidR="004B1719" w:rsidRDefault="00000000">
      <w:pPr>
        <w:spacing w:after="160" w:line="320" w:lineRule="auto"/>
        <w:jc w:val="both"/>
      </w:pPr>
      <w:r>
        <w:rPr>
          <w:color w:val="1A1A1A"/>
        </w:rPr>
        <w:t>Las ecuaciones de Navier-Stokes (NS) describen el movimiento de fluidos viscosos incompresibles. En su formulación clásica para tres dimensiones espaciales:</w:t>
      </w:r>
    </w:p>
    <w:p w14:paraId="76A27D5B" w14:textId="77777777" w:rsidR="004B1719" w:rsidRDefault="00000000">
      <w:pPr>
        <w:spacing w:after="160" w:line="320" w:lineRule="auto"/>
        <w:jc w:val="center"/>
      </w:pPr>
      <w:r>
        <w:rPr>
          <w:rFonts w:ascii="Cambria Math" w:eastAsia="Cambria Math" w:hAnsi="Cambria Math" w:cs="Cambria Math"/>
          <w:i/>
          <w:iCs/>
          <w:color w:val="1A1A1A"/>
        </w:rPr>
        <w:t xml:space="preserve">∂u/∂t + (u · </w:t>
      </w:r>
      <w:proofErr w:type="gramStart"/>
      <w:r>
        <w:rPr>
          <w:rFonts w:ascii="Cambria Math" w:eastAsia="Cambria Math" w:hAnsi="Cambria Math" w:cs="Cambria Math"/>
          <w:i/>
          <w:iCs/>
          <w:color w:val="1A1A1A"/>
        </w:rPr>
        <w:t>∇)u</w:t>
      </w:r>
      <w:proofErr w:type="gramEnd"/>
      <w:r>
        <w:rPr>
          <w:rFonts w:ascii="Cambria Math" w:eastAsia="Cambria Math" w:hAnsi="Cambria Math" w:cs="Cambria Math"/>
          <w:i/>
          <w:iCs/>
          <w:color w:val="1A1A1A"/>
        </w:rPr>
        <w:t xml:space="preserve"> = −∇p + </w:t>
      </w:r>
      <w:proofErr w:type="spellStart"/>
      <w:r>
        <w:rPr>
          <w:rFonts w:ascii="Cambria Math" w:eastAsia="Cambria Math" w:hAnsi="Cambria Math" w:cs="Cambria Math"/>
          <w:i/>
          <w:iCs/>
          <w:color w:val="1A1A1A"/>
        </w:rPr>
        <w:t>νΔu</w:t>
      </w:r>
      <w:proofErr w:type="spellEnd"/>
      <w:r>
        <w:rPr>
          <w:rFonts w:ascii="Cambria Math" w:eastAsia="Cambria Math" w:hAnsi="Cambria Math" w:cs="Cambria Math"/>
          <w:i/>
          <w:iCs/>
          <w:color w:val="1A1A1A"/>
        </w:rPr>
        <w:t xml:space="preserve"> + f</w:t>
      </w:r>
    </w:p>
    <w:p w14:paraId="52AFFDF3" w14:textId="77777777" w:rsidR="004B1719" w:rsidRDefault="00000000">
      <w:pPr>
        <w:spacing w:after="160" w:line="320" w:lineRule="auto"/>
        <w:jc w:val="center"/>
      </w:pPr>
      <w:r>
        <w:rPr>
          <w:rFonts w:ascii="Cambria Math" w:eastAsia="Cambria Math" w:hAnsi="Cambria Math" w:cs="Cambria Math"/>
          <w:i/>
          <w:iCs/>
          <w:color w:val="1A1A1A"/>
        </w:rPr>
        <w:t>∇ · u = 0</w:t>
      </w:r>
    </w:p>
    <w:p w14:paraId="44AE30B7" w14:textId="77777777" w:rsidR="004B1719" w:rsidRDefault="00000000">
      <w:pPr>
        <w:spacing w:after="160" w:line="320" w:lineRule="auto"/>
        <w:jc w:val="both"/>
      </w:pPr>
      <w:r>
        <w:rPr>
          <w:color w:val="1A1A1A"/>
        </w:rPr>
        <w:t xml:space="preserve">donde </w:t>
      </w:r>
      <w:r>
        <w:rPr>
          <w:rFonts w:ascii="Cambria Math" w:eastAsia="Cambria Math" w:hAnsi="Cambria Math" w:cs="Cambria Math"/>
          <w:i/>
          <w:iCs/>
          <w:color w:val="1A1A1A"/>
        </w:rPr>
        <w:t>u</w:t>
      </w:r>
      <w:r>
        <w:rPr>
          <w:color w:val="1A1A1A"/>
        </w:rPr>
        <w:t xml:space="preserve"> es el campo de velocidades, </w:t>
      </w:r>
      <w:r>
        <w:rPr>
          <w:rFonts w:ascii="Cambria Math" w:eastAsia="Cambria Math" w:hAnsi="Cambria Math" w:cs="Cambria Math"/>
          <w:i/>
          <w:iCs/>
          <w:color w:val="1A1A1A"/>
        </w:rPr>
        <w:t>p</w:t>
      </w:r>
      <w:r>
        <w:rPr>
          <w:color w:val="1A1A1A"/>
        </w:rPr>
        <w:t xml:space="preserve"> la presión, </w:t>
      </w:r>
      <w:r>
        <w:rPr>
          <w:rFonts w:ascii="Cambria Math" w:eastAsia="Cambria Math" w:hAnsi="Cambria Math" w:cs="Cambria Math"/>
          <w:i/>
          <w:iCs/>
          <w:color w:val="1A1A1A"/>
        </w:rPr>
        <w:t>ν</w:t>
      </w:r>
      <w:r>
        <w:rPr>
          <w:color w:val="1A1A1A"/>
        </w:rPr>
        <w:t xml:space="preserve"> la viscosidad cinemática y </w:t>
      </w:r>
      <w:r>
        <w:rPr>
          <w:rFonts w:ascii="Cambria Math" w:eastAsia="Cambria Math" w:hAnsi="Cambria Math" w:cs="Cambria Math"/>
          <w:i/>
          <w:iCs/>
          <w:color w:val="1A1A1A"/>
        </w:rPr>
        <w:t>f</w:t>
      </w:r>
      <w:r>
        <w:rPr>
          <w:color w:val="1A1A1A"/>
        </w:rPr>
        <w:t xml:space="preserve"> una fuerza externa.</w:t>
      </w:r>
    </w:p>
    <w:p w14:paraId="698FA35C" w14:textId="77777777" w:rsidR="004B1719" w:rsidRDefault="00000000">
      <w:pPr>
        <w:spacing w:after="160" w:line="320" w:lineRule="auto"/>
        <w:ind w:firstLine="360"/>
        <w:jc w:val="both"/>
      </w:pPr>
      <w:r>
        <w:rPr>
          <w:color w:val="1A1A1A"/>
        </w:rPr>
        <w:t xml:space="preserve">El </w:t>
      </w:r>
      <w:r>
        <w:rPr>
          <w:b/>
          <w:bCs/>
          <w:color w:val="1A1A1A"/>
        </w:rPr>
        <w:t xml:space="preserve">Millennium </w:t>
      </w:r>
      <w:proofErr w:type="spellStart"/>
      <w:r>
        <w:rPr>
          <w:b/>
          <w:bCs/>
          <w:color w:val="1A1A1A"/>
        </w:rPr>
        <w:t>Problem</w:t>
      </w:r>
      <w:proofErr w:type="spellEnd"/>
      <w:r>
        <w:rPr>
          <w:color w:val="1A1A1A"/>
        </w:rPr>
        <w:t xml:space="preserve"> del </w:t>
      </w:r>
      <w:proofErr w:type="spellStart"/>
      <w:r>
        <w:rPr>
          <w:color w:val="1A1A1A"/>
        </w:rPr>
        <w:t>Clay</w:t>
      </w:r>
      <w:proofErr w:type="spellEnd"/>
      <w:r>
        <w:rPr>
          <w:color w:val="1A1A1A"/>
        </w:rPr>
        <w:t xml:space="preserve"> </w:t>
      </w:r>
      <w:proofErr w:type="spellStart"/>
      <w:r>
        <w:rPr>
          <w:color w:val="1A1A1A"/>
        </w:rPr>
        <w:t>Mathematics</w:t>
      </w:r>
      <w:proofErr w:type="spellEnd"/>
      <w:r>
        <w:rPr>
          <w:color w:val="1A1A1A"/>
        </w:rPr>
        <w:t xml:space="preserve"> </w:t>
      </w:r>
      <w:proofErr w:type="spellStart"/>
      <w:r>
        <w:rPr>
          <w:color w:val="1A1A1A"/>
        </w:rPr>
        <w:t>Institute</w:t>
      </w:r>
      <w:proofErr w:type="spellEnd"/>
      <w:r>
        <w:rPr>
          <w:color w:val="1A1A1A"/>
        </w:rPr>
        <w:t xml:space="preserve"> (2000) pide demostrar que, dada una condición inicial suave y con energía finita, la solución se mantiene suave para todo tiempo futuro (regularidad global), o encontrar un contraejemplo donde la velocidad se haga infinita en tiempo finito (</w:t>
      </w:r>
      <w:proofErr w:type="spellStart"/>
      <w:r>
        <w:rPr>
          <w:color w:val="1A1A1A"/>
        </w:rPr>
        <w:t>blow</w:t>
      </w:r>
      <w:proofErr w:type="spellEnd"/>
      <w:r>
        <w:rPr>
          <w:color w:val="1A1A1A"/>
        </w:rPr>
        <w:t>-up).</w:t>
      </w:r>
    </w:p>
    <w:p w14:paraId="467AFA2E" w14:textId="77777777" w:rsidR="004B1719" w:rsidRDefault="00000000">
      <w:pPr>
        <w:spacing w:after="160" w:line="320" w:lineRule="auto"/>
        <w:ind w:firstLine="360"/>
        <w:jc w:val="both"/>
      </w:pPr>
      <w:r>
        <w:rPr>
          <w:color w:val="1A1A1A"/>
        </w:rPr>
        <w:t xml:space="preserve">Estado actual (febrero 2026): en 2D, la regularidad global está demostrada desde los años 60. En 3D, sigue completamente abierta. Tao (2016) demostró que versiones modificadas (“promediadas”) de NS sí pueden explotar, lo que implica que las técnicas estándar (estimaciones de energía, desigualdades de </w:t>
      </w:r>
      <w:proofErr w:type="spellStart"/>
      <w:r>
        <w:rPr>
          <w:color w:val="1A1A1A"/>
        </w:rPr>
        <w:t>Sobolev</w:t>
      </w:r>
      <w:proofErr w:type="spellEnd"/>
      <w:r>
        <w:rPr>
          <w:color w:val="1A1A1A"/>
        </w:rPr>
        <w:t>) no bastan: no distinguen entre las ecuaciones reales y las modificadas.</w:t>
      </w:r>
    </w:p>
    <w:p w14:paraId="76DC96EA" w14:textId="77777777" w:rsidR="004B1719" w:rsidRDefault="00000000">
      <w:pPr>
        <w:pStyle w:val="Ttulo1"/>
      </w:pPr>
      <w:r>
        <w:rPr>
          <w:color w:val="1A1A2E"/>
        </w:rPr>
        <w:t>2. La tensión fundamental: física vs. matemáticas</w:t>
      </w:r>
    </w:p>
    <w:p w14:paraId="079697E8" w14:textId="77777777" w:rsidR="004B1719" w:rsidRDefault="00000000">
      <w:pPr>
        <w:spacing w:after="160" w:line="320" w:lineRule="auto"/>
        <w:jc w:val="both"/>
      </w:pPr>
      <w:r>
        <w:rPr>
          <w:color w:val="1A1A1A"/>
        </w:rPr>
        <w:t>Existe una fractura profunda entre la perspectiva física y la matemática sobre este problema:</w:t>
      </w:r>
    </w:p>
    <w:p w14:paraId="374E4D5D" w14:textId="77777777" w:rsidR="004B1719" w:rsidRDefault="00000000">
      <w:pPr>
        <w:spacing w:before="200" w:after="100"/>
      </w:pPr>
      <w:r>
        <w:rPr>
          <w:rFonts w:ascii="Calibri" w:eastAsia="Calibri" w:hAnsi="Calibri" w:cs="Calibri"/>
          <w:b/>
          <w:bCs/>
          <w:color w:val="0F3460"/>
        </w:rPr>
        <w:t>La posición física (</w:t>
      </w:r>
      <w:proofErr w:type="spellStart"/>
      <w:r>
        <w:rPr>
          <w:rFonts w:ascii="Calibri" w:eastAsia="Calibri" w:hAnsi="Calibri" w:cs="Calibri"/>
          <w:b/>
          <w:bCs/>
          <w:color w:val="0F3460"/>
        </w:rPr>
        <w:t>Kolmogorov</w:t>
      </w:r>
      <w:proofErr w:type="spellEnd"/>
      <w:r>
        <w:rPr>
          <w:rFonts w:ascii="Calibri" w:eastAsia="Calibri" w:hAnsi="Calibri" w:cs="Calibri"/>
          <w:b/>
          <w:bCs/>
          <w:color w:val="0F3460"/>
        </w:rPr>
        <w:t>, Feynman, Prandtl)</w:t>
      </w:r>
    </w:p>
    <w:p w14:paraId="51FAB776" w14:textId="77777777" w:rsidR="004B1719" w:rsidRDefault="00000000">
      <w:pPr>
        <w:spacing w:after="160" w:line="320" w:lineRule="auto"/>
        <w:ind w:firstLine="360"/>
        <w:jc w:val="both"/>
      </w:pPr>
      <w:r>
        <w:rPr>
          <w:color w:val="1A1A1A"/>
        </w:rPr>
        <w:t xml:space="preserve">Los fluidos reales no explotan. La viscosidad disipa energía, la cascada turbulenta la redistribuye, y estos mecanismos impiden singularidades. Ningún experimento ni simulación numérica ha producido jamás un </w:t>
      </w:r>
      <w:proofErr w:type="spellStart"/>
      <w:r>
        <w:rPr>
          <w:color w:val="1A1A1A"/>
        </w:rPr>
        <w:t>blow</w:t>
      </w:r>
      <w:proofErr w:type="spellEnd"/>
      <w:r>
        <w:rPr>
          <w:color w:val="1A1A1A"/>
        </w:rPr>
        <w:t>-up. El problema está “resuelto” en la práctica.</w:t>
      </w:r>
    </w:p>
    <w:p w14:paraId="1A5CF912" w14:textId="77777777" w:rsidR="004B1719" w:rsidRDefault="00000000">
      <w:pPr>
        <w:spacing w:before="200" w:after="100"/>
      </w:pPr>
      <w:r>
        <w:rPr>
          <w:rFonts w:ascii="Calibri" w:eastAsia="Calibri" w:hAnsi="Calibri" w:cs="Calibri"/>
          <w:b/>
          <w:bCs/>
          <w:color w:val="0F3460"/>
        </w:rPr>
        <w:t>La posición matemática (</w:t>
      </w:r>
      <w:proofErr w:type="spellStart"/>
      <w:r>
        <w:rPr>
          <w:rFonts w:ascii="Calibri" w:eastAsia="Calibri" w:hAnsi="Calibri" w:cs="Calibri"/>
          <w:b/>
          <w:bCs/>
          <w:color w:val="0F3460"/>
        </w:rPr>
        <w:t>Leray</w:t>
      </w:r>
      <w:proofErr w:type="spellEnd"/>
      <w:r>
        <w:rPr>
          <w:rFonts w:ascii="Calibri" w:eastAsia="Calibri" w:hAnsi="Calibri" w:cs="Calibri"/>
          <w:b/>
          <w:bCs/>
          <w:color w:val="0F3460"/>
        </w:rPr>
        <w:t xml:space="preserve">, Tao, </w:t>
      </w:r>
      <w:proofErr w:type="spellStart"/>
      <w:r>
        <w:rPr>
          <w:rFonts w:ascii="Calibri" w:eastAsia="Calibri" w:hAnsi="Calibri" w:cs="Calibri"/>
          <w:b/>
          <w:bCs/>
          <w:color w:val="0F3460"/>
        </w:rPr>
        <w:t>Caffarelli</w:t>
      </w:r>
      <w:proofErr w:type="spellEnd"/>
      <w:r>
        <w:rPr>
          <w:rFonts w:ascii="Calibri" w:eastAsia="Calibri" w:hAnsi="Calibri" w:cs="Calibri"/>
          <w:b/>
          <w:bCs/>
          <w:color w:val="0F3460"/>
        </w:rPr>
        <w:t>-Kohn-</w:t>
      </w:r>
      <w:proofErr w:type="spellStart"/>
      <w:r>
        <w:rPr>
          <w:rFonts w:ascii="Calibri" w:eastAsia="Calibri" w:hAnsi="Calibri" w:cs="Calibri"/>
          <w:b/>
          <w:bCs/>
          <w:color w:val="0F3460"/>
        </w:rPr>
        <w:t>Nirenberg</w:t>
      </w:r>
      <w:proofErr w:type="spellEnd"/>
      <w:r>
        <w:rPr>
          <w:rFonts w:ascii="Calibri" w:eastAsia="Calibri" w:hAnsi="Calibri" w:cs="Calibri"/>
          <w:b/>
          <w:bCs/>
          <w:color w:val="0F3460"/>
        </w:rPr>
        <w:t>)</w:t>
      </w:r>
    </w:p>
    <w:p w14:paraId="7BCBDAC9" w14:textId="77777777" w:rsidR="004B1719" w:rsidRDefault="00000000">
      <w:pPr>
        <w:spacing w:after="160" w:line="320" w:lineRule="auto"/>
        <w:ind w:firstLine="360"/>
        <w:jc w:val="both"/>
      </w:pPr>
      <w:r>
        <w:rPr>
          <w:color w:val="1A1A1A"/>
        </w:rPr>
        <w:t xml:space="preserve">No sabemos demostrarlo. Las herramientas disponibles no distinguen entre ecuaciones que explotan y ecuaciones que no. Las soluciones débiles de </w:t>
      </w:r>
      <w:proofErr w:type="spellStart"/>
      <w:r>
        <w:rPr>
          <w:color w:val="1A1A1A"/>
        </w:rPr>
        <w:t>Leray</w:t>
      </w:r>
      <w:proofErr w:type="spellEnd"/>
      <w:r>
        <w:rPr>
          <w:color w:val="1A1A1A"/>
        </w:rPr>
        <w:t xml:space="preserve"> (1934) existen globalmente, pero podrían no ser únicas ni suaves. Los resultados de regularidad parcial (CKN, 1982) demuestran que el conjunto de posibles singularidades tiene dimensión cero en el espacio-tiempo, pero no que sea vacío.</w:t>
      </w:r>
    </w:p>
    <w:p w14:paraId="56955A83" w14:textId="77777777" w:rsidR="004B1719" w:rsidRDefault="00000000">
      <w:pPr>
        <w:spacing w:before="200" w:after="100"/>
      </w:pPr>
      <w:r>
        <w:rPr>
          <w:rFonts w:ascii="Calibri" w:eastAsia="Calibri" w:hAnsi="Calibri" w:cs="Calibri"/>
          <w:b/>
          <w:bCs/>
          <w:color w:val="0F3460"/>
        </w:rPr>
        <w:lastRenderedPageBreak/>
        <w:t>La observación clave de esta conversación</w:t>
      </w:r>
    </w:p>
    <w:p w14:paraId="2EAD91F1" w14:textId="18B30CA2" w:rsidR="004B1719" w:rsidRDefault="00000000" w:rsidP="00315D0F">
      <w:pPr>
        <w:spacing w:after="160" w:line="320" w:lineRule="auto"/>
        <w:ind w:firstLine="360"/>
        <w:jc w:val="both"/>
      </w:pPr>
      <w:r>
        <w:rPr>
          <w:color w:val="1A1A1A"/>
        </w:rPr>
        <w:t xml:space="preserve">Esta dicotomía es en parte artificial. NS es un modelo de continuo que abstrae la realidad molecular. Preguntarse si las ecuaciones explotan sin atender a la física que modelan es como analizar la resistencia de una viga usando solo el diagrama de momentos flectores, ignorando que está hecha de acero real con propiedades reales. El diagrama funciona </w:t>
      </w:r>
      <w:r>
        <w:rPr>
          <w:i/>
          <w:iCs/>
          <w:color w:val="1A1A1A"/>
        </w:rPr>
        <w:t>porque</w:t>
      </w:r>
      <w:r>
        <w:rPr>
          <w:color w:val="1A1A1A"/>
        </w:rPr>
        <w:t xml:space="preserve"> hay un material que transmite fuerzas molécula a molécula. NS funciona </w:t>
      </w:r>
      <w:r>
        <w:rPr>
          <w:i/>
          <w:iCs/>
          <w:color w:val="1A1A1A"/>
        </w:rPr>
        <w:t>porque</w:t>
      </w:r>
      <w:r>
        <w:rPr>
          <w:color w:val="1A1A1A"/>
        </w:rPr>
        <w:t xml:space="preserve"> hay un fluido con viscosidad real de origen molecular. Una demostración de regularidad podría necesitar capturar matemáticamente </w:t>
      </w:r>
      <w:r>
        <w:rPr>
          <w:i/>
          <w:iCs/>
          <w:color w:val="1A1A1A"/>
        </w:rPr>
        <w:t>por qué</w:t>
      </w:r>
      <w:r>
        <w:rPr>
          <w:color w:val="1A1A1A"/>
        </w:rPr>
        <w:t xml:space="preserve"> la física funciona, no solo verificar que las estimaciones se cierran.</w:t>
      </w:r>
    </w:p>
    <w:p w14:paraId="53C49CBF" w14:textId="77777777" w:rsidR="004B1719" w:rsidRDefault="00000000">
      <w:pPr>
        <w:pStyle w:val="Ttulo1"/>
      </w:pPr>
      <w:r>
        <w:rPr>
          <w:color w:val="1A1A2E"/>
        </w:rPr>
        <w:t>3. Las premisas: cuatro ideas convergentes</w:t>
      </w:r>
    </w:p>
    <w:p w14:paraId="38BE2F31" w14:textId="77777777" w:rsidR="004B1719" w:rsidRDefault="00000000">
      <w:pPr>
        <w:pStyle w:val="Ttulo2"/>
      </w:pPr>
      <w:r>
        <w:rPr>
          <w:color w:val="16213E"/>
        </w:rPr>
        <w:t>3.1. Los vórtices como mecanismo de autorregulación</w:t>
      </w:r>
    </w:p>
    <w:p w14:paraId="7325428A" w14:textId="77777777" w:rsidR="004B1719" w:rsidRDefault="00000000">
      <w:pPr>
        <w:spacing w:after="160" w:line="320" w:lineRule="auto"/>
        <w:ind w:firstLine="360"/>
        <w:jc w:val="both"/>
      </w:pPr>
      <w:r>
        <w:rPr>
          <w:color w:val="1A1A1A"/>
        </w:rPr>
        <w:t>Premisa central: los vórtices en un fluido turbulento no son el preludio de una singularidad, sino el mecanismo que el sistema genera para evitarla.</w:t>
      </w:r>
    </w:p>
    <w:p w14:paraId="77769CDE" w14:textId="77777777" w:rsidR="004B1719" w:rsidRDefault="00000000">
      <w:pPr>
        <w:spacing w:after="160" w:line="320" w:lineRule="auto"/>
        <w:ind w:firstLine="360"/>
        <w:jc w:val="both"/>
      </w:pPr>
      <w:r>
        <w:rPr>
          <w:b/>
          <w:bCs/>
          <w:color w:val="1A1A1A"/>
        </w:rPr>
        <w:t>Analogía estructural.</w:t>
      </w:r>
      <w:r>
        <w:rPr>
          <w:color w:val="1A1A1A"/>
        </w:rPr>
        <w:t xml:space="preserve"> En un pórtico hiperestático, cuando una sección se acerca a su límite, la carga se redistribuye hacia otros caminos internos. El sistema genera tensiones internas que son la respuesta al problema, no el problema en sí. Los vórtices turbulentos cumplen la misma función: son las “tensiones internas” del fluido, el mecanismo por el cual redistribuye energía para no colapsar.</w:t>
      </w:r>
    </w:p>
    <w:p w14:paraId="1C6CF0DA" w14:textId="77777777" w:rsidR="004B1719" w:rsidRDefault="00000000">
      <w:pPr>
        <w:spacing w:after="160" w:line="320" w:lineRule="auto"/>
        <w:ind w:firstLine="360"/>
        <w:jc w:val="both"/>
      </w:pPr>
      <w:r>
        <w:rPr>
          <w:b/>
          <w:bCs/>
          <w:color w:val="1A1A1A"/>
        </w:rPr>
        <w:t>Formulación dinámica.</w:t>
      </w:r>
      <w:r>
        <w:rPr>
          <w:color w:val="1A1A1A"/>
        </w:rPr>
        <w:t xml:space="preserve"> En turbulencia estacionaria, la energía inyectada en escalas grandes es exactamente igual a la disipada por viscosidad en escalas pequeñas. La cascada de </w:t>
      </w:r>
      <w:proofErr w:type="spellStart"/>
      <w:r>
        <w:rPr>
          <w:color w:val="1A1A1A"/>
        </w:rPr>
        <w:t>Kolmogorov</w:t>
      </w:r>
      <w:proofErr w:type="spellEnd"/>
      <w:r>
        <w:rPr>
          <w:color w:val="1A1A1A"/>
        </w:rPr>
        <w:t xml:space="preserve"> es el conducto que mantiene ese balance. Si la inyección sube, el sistema genera más vórtices, más cascada, más disipación. Se autorregula. Un </w:t>
      </w:r>
      <w:proofErr w:type="spellStart"/>
      <w:r>
        <w:rPr>
          <w:color w:val="1A1A1A"/>
        </w:rPr>
        <w:t>blow</w:t>
      </w:r>
      <w:proofErr w:type="spellEnd"/>
      <w:r>
        <w:rPr>
          <w:color w:val="1A1A1A"/>
        </w:rPr>
        <w:t>-up significaría que este mecanismo de autorregulación falla catastróficamente —que el fluido no encuentra cómo redistribuir la carga.</w:t>
      </w:r>
    </w:p>
    <w:p w14:paraId="1A60ACF2" w14:textId="77777777" w:rsidR="004B1719" w:rsidRDefault="00000000">
      <w:pPr>
        <w:spacing w:after="160" w:line="320" w:lineRule="auto"/>
        <w:ind w:firstLine="360"/>
        <w:jc w:val="both"/>
        <w:rPr>
          <w:color w:val="1A1A1A"/>
        </w:rPr>
      </w:pPr>
      <w:r>
        <w:rPr>
          <w:b/>
          <w:bCs/>
          <w:color w:val="1A1A1A"/>
        </w:rPr>
        <w:t>Reformulación del problema.</w:t>
      </w:r>
      <w:r>
        <w:rPr>
          <w:color w:val="1A1A1A"/>
        </w:rPr>
        <w:t xml:space="preserve"> En vez de preguntar «¿puede la energía concentrarse hasta el infinito?», la pregunta operativa es: «¿puede el mecanismo de autorregulación del fluido fallar?». Son matemáticamente equivalentes, pero la segunda sugiere un camino diferente: estudiar las condiciones bajo las cuales la formación de vórtices deja de ser suficiente para compensar la concentración de energía.</w:t>
      </w:r>
    </w:p>
    <w:p w14:paraId="7C3D0FE2" w14:textId="77777777" w:rsidR="00315D0F" w:rsidRDefault="00315D0F">
      <w:pPr>
        <w:spacing w:after="160" w:line="320" w:lineRule="auto"/>
        <w:ind w:firstLine="360"/>
        <w:jc w:val="both"/>
      </w:pPr>
    </w:p>
    <w:p w14:paraId="09D779EA" w14:textId="77777777" w:rsidR="004B1719" w:rsidRDefault="00000000">
      <w:pPr>
        <w:pStyle w:val="Ttulo2"/>
      </w:pPr>
      <w:r>
        <w:rPr>
          <w:color w:val="16213E"/>
        </w:rPr>
        <w:lastRenderedPageBreak/>
        <w:t>3.2. El argumento termodinámico-estadístico (Penrose)</w:t>
      </w:r>
    </w:p>
    <w:p w14:paraId="2A6CA9C0" w14:textId="77777777" w:rsidR="004B1719" w:rsidRDefault="00000000">
      <w:pPr>
        <w:spacing w:after="160" w:line="320" w:lineRule="auto"/>
        <w:ind w:firstLine="360"/>
        <w:jc w:val="both"/>
      </w:pPr>
      <w:r>
        <w:rPr>
          <w:color w:val="1A1A1A"/>
        </w:rPr>
        <w:t xml:space="preserve">El estado de </w:t>
      </w:r>
      <w:proofErr w:type="spellStart"/>
      <w:r>
        <w:rPr>
          <w:color w:val="1A1A1A"/>
        </w:rPr>
        <w:t>blow</w:t>
      </w:r>
      <w:proofErr w:type="spellEnd"/>
      <w:r>
        <w:rPr>
          <w:color w:val="1A1A1A"/>
        </w:rPr>
        <w:t>-up (toda la energía concentrada en un punto) es un estado de orden extremo: una configuración extraordinariamente específica e improbable. El estado turbulento, con energía repartida en vórtices a muchas escalas, es estadísticamente mucho más probable.</w:t>
      </w:r>
    </w:p>
    <w:p w14:paraId="25B8F6E1" w14:textId="77777777" w:rsidR="004B1719" w:rsidRDefault="00000000">
      <w:pPr>
        <w:spacing w:after="160" w:line="320" w:lineRule="auto"/>
        <w:ind w:firstLine="360"/>
        <w:jc w:val="both"/>
      </w:pPr>
      <w:r>
        <w:rPr>
          <w:color w:val="1A1A1A"/>
        </w:rPr>
        <w:t>Siguiendo el argumento de Roger Penrose sobre entropía: el equilibrio no es un misterio si se mira estadísticamente. El estado de máxima entropía es simplemente el que tiene más configuraciones microscópicas compatibles, el más probable, el que requiere menos energía para mantenerse. Hay incomparablemente más configuraciones turbulentas que configuraciones singulares. La naturaleza no “busca” el desorden; simplemente, el desorden gana por pura estadística.</w:t>
      </w:r>
    </w:p>
    <w:p w14:paraId="43E3DE32" w14:textId="77777777" w:rsidR="004B1719" w:rsidRDefault="00000000">
      <w:pPr>
        <w:spacing w:after="160" w:line="320" w:lineRule="auto"/>
        <w:ind w:firstLine="360"/>
        <w:jc w:val="both"/>
      </w:pPr>
      <w:r>
        <w:rPr>
          <w:b/>
          <w:bCs/>
          <w:color w:val="1A1A1A"/>
        </w:rPr>
        <w:t>Conexión con resultados existentes.</w:t>
      </w:r>
      <w:r>
        <w:rPr>
          <w:color w:val="1A1A1A"/>
        </w:rPr>
        <w:t xml:space="preserve"> </w:t>
      </w:r>
      <w:proofErr w:type="spellStart"/>
      <w:r>
        <w:rPr>
          <w:color w:val="1A1A1A"/>
        </w:rPr>
        <w:t>Nahmod</w:t>
      </w:r>
      <w:proofErr w:type="spellEnd"/>
      <w:r>
        <w:rPr>
          <w:color w:val="1A1A1A"/>
        </w:rPr>
        <w:t xml:space="preserve">, </w:t>
      </w:r>
      <w:proofErr w:type="spellStart"/>
      <w:r>
        <w:rPr>
          <w:color w:val="1A1A1A"/>
        </w:rPr>
        <w:t>Pavlovic</w:t>
      </w:r>
      <w:proofErr w:type="spellEnd"/>
      <w:r>
        <w:rPr>
          <w:color w:val="1A1A1A"/>
        </w:rPr>
        <w:t xml:space="preserve"> y </w:t>
      </w:r>
      <w:proofErr w:type="spellStart"/>
      <w:r>
        <w:rPr>
          <w:color w:val="1A1A1A"/>
        </w:rPr>
        <w:t>Staffilani</w:t>
      </w:r>
      <w:proofErr w:type="spellEnd"/>
      <w:r>
        <w:rPr>
          <w:color w:val="1A1A1A"/>
        </w:rPr>
        <w:t xml:space="preserve"> han demostrado que casi todos (en sentido de medida) los datos iniciales aleatorios admiten soluciones débiles globales. Tao confirma que “se espera generalmente que el </w:t>
      </w:r>
      <w:proofErr w:type="spellStart"/>
      <w:r>
        <w:rPr>
          <w:color w:val="1A1A1A"/>
        </w:rPr>
        <w:t>blow</w:t>
      </w:r>
      <w:proofErr w:type="spellEnd"/>
      <w:r>
        <w:rPr>
          <w:color w:val="1A1A1A"/>
        </w:rPr>
        <w:t>-up debería evitarse para datos iniciales genéricos”. El conjunto de datos iniciales “malos”, si existe, tiene medida cero.</w:t>
      </w:r>
    </w:p>
    <w:p w14:paraId="17CFF072" w14:textId="77777777" w:rsidR="004B1719" w:rsidRDefault="00000000">
      <w:pPr>
        <w:spacing w:after="160" w:line="320" w:lineRule="auto"/>
        <w:ind w:firstLine="360"/>
        <w:jc w:val="both"/>
      </w:pPr>
      <w:r>
        <w:rPr>
          <w:b/>
          <w:bCs/>
          <w:color w:val="1A1A1A"/>
        </w:rPr>
        <w:t>Limitación conocida.</w:t>
      </w:r>
      <w:r>
        <w:rPr>
          <w:color w:val="1A1A1A"/>
        </w:rPr>
        <w:t xml:space="preserve"> Un argumento estadístico dice “es casi imposible”. El Millennium </w:t>
      </w:r>
      <w:proofErr w:type="spellStart"/>
      <w:r>
        <w:rPr>
          <w:color w:val="1A1A1A"/>
        </w:rPr>
        <w:t>Problem</w:t>
      </w:r>
      <w:proofErr w:type="spellEnd"/>
      <w:r>
        <w:rPr>
          <w:color w:val="1A1A1A"/>
        </w:rPr>
        <w:t xml:space="preserve"> pide “es imposible para </w:t>
      </w:r>
      <w:r>
        <w:rPr>
          <w:i/>
          <w:iCs/>
          <w:color w:val="1A1A1A"/>
        </w:rPr>
        <w:t>todos</w:t>
      </w:r>
      <w:r>
        <w:rPr>
          <w:color w:val="1A1A1A"/>
        </w:rPr>
        <w:t xml:space="preserve"> los datos iniciales”. La genericidad sola no basta.</w:t>
      </w:r>
    </w:p>
    <w:p w14:paraId="1F47F572" w14:textId="77777777" w:rsidR="004B1719" w:rsidRDefault="00000000">
      <w:pPr>
        <w:pStyle w:val="Ttulo2"/>
      </w:pPr>
      <w:r>
        <w:rPr>
          <w:color w:val="16213E"/>
        </w:rPr>
        <w:t>3.3. El coste energético de la concentración</w:t>
      </w:r>
    </w:p>
    <w:p w14:paraId="269FDA73" w14:textId="77777777" w:rsidR="004B1719" w:rsidRDefault="00000000">
      <w:pPr>
        <w:spacing w:after="160" w:line="320" w:lineRule="auto"/>
        <w:ind w:firstLine="360"/>
        <w:jc w:val="both"/>
      </w:pPr>
      <w:r>
        <w:rPr>
          <w:color w:val="1A1A1A"/>
        </w:rPr>
        <w:t xml:space="preserve">Aquí es donde la conversación produjo lo que creemos que es la idea más original. No se trata solo de que el </w:t>
      </w:r>
      <w:proofErr w:type="spellStart"/>
      <w:r>
        <w:rPr>
          <w:color w:val="1A1A1A"/>
        </w:rPr>
        <w:t>blow</w:t>
      </w:r>
      <w:proofErr w:type="spellEnd"/>
      <w:r>
        <w:rPr>
          <w:color w:val="1A1A1A"/>
        </w:rPr>
        <w:t xml:space="preserve">-up sea improbable (argumento estadístico). Se trata de que el </w:t>
      </w:r>
      <w:proofErr w:type="spellStart"/>
      <w:r>
        <w:rPr>
          <w:color w:val="1A1A1A"/>
        </w:rPr>
        <w:t>blow</w:t>
      </w:r>
      <w:proofErr w:type="spellEnd"/>
      <w:r>
        <w:rPr>
          <w:color w:val="1A1A1A"/>
        </w:rPr>
        <w:t xml:space="preserve">-up </w:t>
      </w:r>
      <w:r>
        <w:rPr>
          <w:b/>
          <w:bCs/>
          <w:color w:val="1A1A1A"/>
        </w:rPr>
        <w:t>requiere más energía</w:t>
      </w:r>
      <w:r>
        <w:rPr>
          <w:color w:val="1A1A1A"/>
        </w:rPr>
        <w:t xml:space="preserve"> que el equilibrio turbulento, y como el sistema tiende a minimizar el gasto energético, </w:t>
      </w:r>
      <w:r>
        <w:rPr>
          <w:i/>
          <w:iCs/>
          <w:color w:val="1A1A1A"/>
        </w:rPr>
        <w:t>no puede</w:t>
      </w:r>
      <w:r>
        <w:rPr>
          <w:color w:val="1A1A1A"/>
        </w:rPr>
        <w:t xml:space="preserve"> llegar ahí. Es un argumento variacional, no solo estadístico.</w:t>
      </w:r>
    </w:p>
    <w:p w14:paraId="5D8C44EB" w14:textId="77777777" w:rsidR="004B1719" w:rsidRDefault="00000000">
      <w:pPr>
        <w:spacing w:after="160" w:line="320" w:lineRule="auto"/>
        <w:ind w:firstLine="360"/>
        <w:jc w:val="both"/>
      </w:pPr>
      <w:r>
        <w:rPr>
          <w:b/>
          <w:bCs/>
          <w:color w:val="1A1A1A"/>
        </w:rPr>
        <w:t>Lo que ya se sabe.</w:t>
      </w:r>
      <w:r>
        <w:rPr>
          <w:color w:val="1A1A1A"/>
        </w:rPr>
        <w:t xml:space="preserve"> La energía cinética total de una solución de NS con viscosidad siempre decrece (desigualdad de energía de </w:t>
      </w:r>
      <w:proofErr w:type="spellStart"/>
      <w:r>
        <w:rPr>
          <w:color w:val="1A1A1A"/>
        </w:rPr>
        <w:t>Leray</w:t>
      </w:r>
      <w:proofErr w:type="spellEnd"/>
      <w:r>
        <w:rPr>
          <w:color w:val="1A1A1A"/>
        </w:rPr>
        <w:t xml:space="preserve">, 1934). El sistema </w:t>
      </w:r>
      <w:r>
        <w:rPr>
          <w:i/>
          <w:iCs/>
          <w:color w:val="1A1A1A"/>
        </w:rPr>
        <w:t>como un todo</w:t>
      </w:r>
      <w:r>
        <w:rPr>
          <w:color w:val="1A1A1A"/>
        </w:rPr>
        <w:t xml:space="preserve"> va “cuesta abajo” energéticamente.</w:t>
      </w:r>
    </w:p>
    <w:p w14:paraId="693CCEB9" w14:textId="77777777" w:rsidR="004B1719" w:rsidRDefault="00000000">
      <w:pPr>
        <w:spacing w:after="160" w:line="320" w:lineRule="auto"/>
        <w:ind w:firstLine="360"/>
        <w:jc w:val="both"/>
      </w:pPr>
      <w:r>
        <w:rPr>
          <w:b/>
          <w:bCs/>
          <w:color w:val="1A1A1A"/>
        </w:rPr>
        <w:t>El problema.</w:t>
      </w:r>
      <w:r>
        <w:rPr>
          <w:color w:val="1A1A1A"/>
        </w:rPr>
        <w:t xml:space="preserve"> La energía total puede decrecer mientras que localmente se concentra —como un río que pierde energía global mientras forma un remolino intenso en un punto.</w:t>
      </w:r>
    </w:p>
    <w:p w14:paraId="5CD389DD" w14:textId="77777777" w:rsidR="004B1719" w:rsidRDefault="00000000">
      <w:pPr>
        <w:spacing w:after="160" w:line="320" w:lineRule="auto"/>
        <w:ind w:firstLine="360"/>
        <w:jc w:val="both"/>
      </w:pPr>
      <w:r>
        <w:rPr>
          <w:b/>
          <w:bCs/>
          <w:color w:val="1A1A1A"/>
        </w:rPr>
        <w:t>La pregunta precisa.</w:t>
      </w:r>
      <w:r>
        <w:rPr>
          <w:color w:val="1A1A1A"/>
        </w:rPr>
        <w:t xml:space="preserve"> ¿Se puede demostrar que la concentración local de energía también tiene un coste energético neto? Es decir, que formar un “proto-</w:t>
      </w:r>
      <w:proofErr w:type="spellStart"/>
      <w:r>
        <w:rPr>
          <w:color w:val="1A1A1A"/>
        </w:rPr>
        <w:t>blow</w:t>
      </w:r>
      <w:proofErr w:type="spellEnd"/>
      <w:r>
        <w:rPr>
          <w:color w:val="1A1A1A"/>
        </w:rPr>
        <w:t xml:space="preserve">-up” —una </w:t>
      </w:r>
      <w:r>
        <w:rPr>
          <w:color w:val="1A1A1A"/>
        </w:rPr>
        <w:lastRenderedPageBreak/>
        <w:t>concentración extrema de velocidad en una región pequeña— consume más energía de la que la cascada turbulenta es capaz de canalizar hacia ese punto.</w:t>
      </w:r>
    </w:p>
    <w:p w14:paraId="3A5CCA63" w14:textId="77777777" w:rsidR="004B1719" w:rsidRDefault="00000000">
      <w:pPr>
        <w:pStyle w:val="Ttulo2"/>
      </w:pPr>
      <w:r>
        <w:rPr>
          <w:color w:val="16213E"/>
        </w:rPr>
        <w:t>3.4. La paradoja de Zenón como test de consistencia</w:t>
      </w:r>
    </w:p>
    <w:p w14:paraId="14CD0F69" w14:textId="77777777" w:rsidR="004B1719" w:rsidRDefault="00000000">
      <w:pPr>
        <w:spacing w:after="160" w:line="320" w:lineRule="auto"/>
        <w:ind w:firstLine="360"/>
        <w:jc w:val="both"/>
      </w:pPr>
      <w:r>
        <w:rPr>
          <w:color w:val="1A1A1A"/>
        </w:rPr>
        <w:t xml:space="preserve">Un argumento natural a favor de la regularidad sería: la cascada de </w:t>
      </w:r>
      <w:proofErr w:type="spellStart"/>
      <w:r>
        <w:rPr>
          <w:color w:val="1A1A1A"/>
        </w:rPr>
        <w:t>Kolmogorov</w:t>
      </w:r>
      <w:proofErr w:type="spellEnd"/>
      <w:r>
        <w:rPr>
          <w:color w:val="1A1A1A"/>
        </w:rPr>
        <w:t xml:space="preserve"> es local en escalas (la energía solo se transfiere entre escalas cercanas), así que para llegar al </w:t>
      </w:r>
      <w:proofErr w:type="spellStart"/>
      <w:r>
        <w:rPr>
          <w:color w:val="1A1A1A"/>
        </w:rPr>
        <w:t>blow</w:t>
      </w:r>
      <w:proofErr w:type="spellEnd"/>
      <w:r>
        <w:rPr>
          <w:color w:val="1A1A1A"/>
        </w:rPr>
        <w:t>-up haría falta recorrer infinitos “peldaños” en tiempo finito.</w:t>
      </w:r>
    </w:p>
    <w:p w14:paraId="19D4E1A6" w14:textId="77777777" w:rsidR="004B1719" w:rsidRDefault="00000000">
      <w:pPr>
        <w:spacing w:after="160" w:line="320" w:lineRule="auto"/>
        <w:ind w:firstLine="360"/>
        <w:jc w:val="both"/>
      </w:pPr>
      <w:r>
        <w:rPr>
          <w:color w:val="1A1A1A"/>
        </w:rPr>
        <w:t xml:space="preserve">Pero este argumento tiene una grieta precisa, identificada en nuestra conversación por analogía con la paradoja de Aquiles y la tortuga de Zenón: una serie infinita de pasos puede completarse en tiempo finito si los pasos se hacen suficientemente pequeños suficientemente rápido (1/2 + 1/4 + 1/8 + ... = 1). En la cascada de </w:t>
      </w:r>
      <w:proofErr w:type="spellStart"/>
      <w:r>
        <w:rPr>
          <w:color w:val="1A1A1A"/>
        </w:rPr>
        <w:t>Kolmogorov</w:t>
      </w:r>
      <w:proofErr w:type="spellEnd"/>
      <w:r>
        <w:rPr>
          <w:color w:val="1A1A1A"/>
        </w:rPr>
        <w:t xml:space="preserve">, el tiempo característico en cada escala </w:t>
      </w:r>
      <w:r>
        <w:rPr>
          <w:i/>
          <w:iCs/>
          <w:color w:val="1A1A1A"/>
        </w:rPr>
        <w:t>sí</w:t>
      </w:r>
      <w:r>
        <w:rPr>
          <w:color w:val="1A1A1A"/>
        </w:rPr>
        <w:t xml:space="preserve"> decrece con la escala: los vórtices pequeños rotan más rápido que los grandes. La estructura es exactamente la de una serie potencialmente convergente.</w:t>
      </w:r>
    </w:p>
    <w:p w14:paraId="16E1611E" w14:textId="77777777" w:rsidR="004B1719" w:rsidRDefault="00000000">
      <w:pPr>
        <w:spacing w:after="160" w:line="320" w:lineRule="auto"/>
        <w:ind w:firstLine="360"/>
        <w:jc w:val="both"/>
      </w:pPr>
      <w:r>
        <w:rPr>
          <w:b/>
          <w:bCs/>
          <w:color w:val="1A1A1A"/>
        </w:rPr>
        <w:t>Consecuencia.</w:t>
      </w:r>
      <w:r>
        <w:rPr>
          <w:color w:val="1A1A1A"/>
        </w:rPr>
        <w:t xml:space="preserve"> La localidad de la cascada sola no basta para impedir el </w:t>
      </w:r>
      <w:proofErr w:type="spellStart"/>
      <w:r>
        <w:rPr>
          <w:color w:val="1A1A1A"/>
        </w:rPr>
        <w:t>blow</w:t>
      </w:r>
      <w:proofErr w:type="spellEnd"/>
      <w:r>
        <w:rPr>
          <w:color w:val="1A1A1A"/>
        </w:rPr>
        <w:t>-up. Se necesita además demostrar que la viscosidad frena la transferencia en escalas pequeñas lo suficiente como para que la “serie temporal” de la cascada diverja (no llegue al final en tiempo finito). Esta es una restricción cuantitativa, no cualitativa.</w:t>
      </w:r>
    </w:p>
    <w:p w14:paraId="5F577E22" w14:textId="77777777" w:rsidR="004B1719" w:rsidRDefault="00000000">
      <w:r>
        <w:br w:type="page"/>
      </w:r>
    </w:p>
    <w:p w14:paraId="3A8ECE12" w14:textId="77777777" w:rsidR="004B1719" w:rsidRDefault="00000000">
      <w:pPr>
        <w:pStyle w:val="Ttulo1"/>
      </w:pPr>
      <w:r>
        <w:rPr>
          <w:color w:val="1A1A2E"/>
        </w:rPr>
        <w:lastRenderedPageBreak/>
        <w:t>4. La conjetura</w:t>
      </w:r>
    </w:p>
    <w:p w14:paraId="13845BB6" w14:textId="77777777" w:rsidR="004B1719" w:rsidRDefault="00000000">
      <w:pPr>
        <w:spacing w:after="160" w:line="320" w:lineRule="auto"/>
        <w:jc w:val="both"/>
      </w:pPr>
      <w:r>
        <w:rPr>
          <w:color w:val="1A1A1A"/>
        </w:rPr>
        <w:t>Formulamos la siguiente conjetura informal, que combina las cuatro premisas anteriores:</w:t>
      </w:r>
    </w:p>
    <w:p w14:paraId="57BF206B" w14:textId="77777777" w:rsidR="004B1719" w:rsidRDefault="004B1719">
      <w:pPr>
        <w:spacing w:before="50" w:after="50"/>
      </w:pPr>
    </w:p>
    <w:p w14:paraId="5A4B97C4" w14:textId="77777777" w:rsidR="004B1719" w:rsidRDefault="00000000">
      <w:pPr>
        <w:pBdr>
          <w:left w:val="single" w:sz="6" w:space="10" w:color="0F3460"/>
        </w:pBdr>
        <w:spacing w:before="100" w:after="100"/>
        <w:ind w:left="500" w:right="500"/>
      </w:pPr>
      <w:r>
        <w:rPr>
          <w:b/>
          <w:bCs/>
          <w:i/>
          <w:iCs/>
          <w:color w:val="1A1A1A"/>
        </w:rPr>
        <w:t xml:space="preserve">Conjetura (informal). </w:t>
      </w:r>
      <w:r>
        <w:rPr>
          <w:i/>
          <w:iCs/>
          <w:color w:val="1A1A1A"/>
        </w:rPr>
        <w:t>Para toda solución de Navier-Stokes 3D con datos iniciales suaves y energía finita, existe una función de “coste de concentración” C(L) que mide la energía mínima necesaria para concentrar vorticidad significativa en una región de escala L, tal que C(L) → ∞ cuando L → 0. Dado que la energía total disponible es finita (y decreciente), el sistema nunca dispone de “crédito energético” suficiente para completar la concentración hacia una singularidad.</w:t>
      </w:r>
    </w:p>
    <w:p w14:paraId="210A0D73" w14:textId="77777777" w:rsidR="004B1719" w:rsidRDefault="004B1719">
      <w:pPr>
        <w:spacing w:before="50" w:after="50"/>
      </w:pPr>
    </w:p>
    <w:p w14:paraId="19B2C70D" w14:textId="77777777" w:rsidR="004B1719" w:rsidRDefault="00000000">
      <w:pPr>
        <w:spacing w:after="160" w:line="320" w:lineRule="auto"/>
        <w:jc w:val="both"/>
      </w:pPr>
      <w:r>
        <w:rPr>
          <w:b/>
          <w:bCs/>
          <w:color w:val="1A1A1A"/>
        </w:rPr>
        <w:t>Estructura del argumento que se necesitaría:</w:t>
      </w:r>
    </w:p>
    <w:p w14:paraId="7A8B0221" w14:textId="77777777" w:rsidR="004B1719" w:rsidRDefault="00000000">
      <w:pPr>
        <w:spacing w:after="160" w:line="320" w:lineRule="auto"/>
        <w:ind w:firstLine="360"/>
        <w:jc w:val="both"/>
      </w:pPr>
      <w:r>
        <w:rPr>
          <w:b/>
          <w:bCs/>
          <w:color w:val="1A1A1A"/>
        </w:rPr>
        <w:t>Paso 1.</w:t>
      </w:r>
      <w:r>
        <w:rPr>
          <w:color w:val="1A1A1A"/>
        </w:rPr>
        <w:t xml:space="preserve"> Definir rigurosamente C(L) como un funcional sobre el campo de velocidades que mida el coste energético de la concentración de </w:t>
      </w:r>
      <w:proofErr w:type="spellStart"/>
      <w:r>
        <w:rPr>
          <w:color w:val="1A1A1A"/>
        </w:rPr>
        <w:t>enstrofia</w:t>
      </w:r>
      <w:proofErr w:type="spellEnd"/>
      <w:r>
        <w:rPr>
          <w:color w:val="1A1A1A"/>
        </w:rPr>
        <w:t xml:space="preserve"> (integral de vorticidad al cuadrado) en una bola de radio L.</w:t>
      </w:r>
    </w:p>
    <w:p w14:paraId="41DDA5F9" w14:textId="77777777" w:rsidR="004B1719" w:rsidRDefault="00000000">
      <w:pPr>
        <w:spacing w:after="160" w:line="320" w:lineRule="auto"/>
        <w:ind w:firstLine="360"/>
        <w:jc w:val="both"/>
      </w:pPr>
      <w:r>
        <w:rPr>
          <w:b/>
          <w:bCs/>
          <w:color w:val="1A1A1A"/>
        </w:rPr>
        <w:t>Paso 2.</w:t>
      </w:r>
      <w:r>
        <w:rPr>
          <w:color w:val="1A1A1A"/>
        </w:rPr>
        <w:t xml:space="preserve"> Demostrar una desigualdad del tipo C(L) ≥ K · L^{−α} para algún α &gt; 0 y K &gt; 0, usando la estructura específica de la no-linealidad de NS (el término (u · </w:t>
      </w:r>
      <w:proofErr w:type="gramStart"/>
      <w:r>
        <w:rPr>
          <w:color w:val="1A1A1A"/>
        </w:rPr>
        <w:t>∇)u</w:t>
      </w:r>
      <w:proofErr w:type="gramEnd"/>
      <w:r>
        <w:rPr>
          <w:color w:val="1A1A1A"/>
        </w:rPr>
        <w:t>), no solo propiedades genéricas del espacio funcional.</w:t>
      </w:r>
    </w:p>
    <w:p w14:paraId="6F351034" w14:textId="77777777" w:rsidR="004B1719" w:rsidRDefault="00000000">
      <w:pPr>
        <w:spacing w:after="160" w:line="320" w:lineRule="auto"/>
        <w:ind w:firstLine="360"/>
        <w:jc w:val="both"/>
      </w:pPr>
      <w:r>
        <w:rPr>
          <w:b/>
          <w:bCs/>
          <w:color w:val="1A1A1A"/>
        </w:rPr>
        <w:t>Paso 3.</w:t>
      </w:r>
      <w:r>
        <w:rPr>
          <w:color w:val="1A1A1A"/>
        </w:rPr>
        <w:t xml:space="preserve"> Combinar con la desigualdad de energía de </w:t>
      </w:r>
      <w:proofErr w:type="spellStart"/>
      <w:r>
        <w:rPr>
          <w:color w:val="1A1A1A"/>
        </w:rPr>
        <w:t>Leray</w:t>
      </w:r>
      <w:proofErr w:type="spellEnd"/>
      <w:r>
        <w:rPr>
          <w:color w:val="1A1A1A"/>
        </w:rPr>
        <w:t xml:space="preserve"> para mostrar que C(L) supera la energía total disponible para L suficientemente pequeño, cerrando la contradicción.</w:t>
      </w:r>
    </w:p>
    <w:p w14:paraId="61BB976B" w14:textId="77777777" w:rsidR="004B1719" w:rsidRDefault="00000000">
      <w:pPr>
        <w:spacing w:after="160" w:line="320" w:lineRule="auto"/>
        <w:ind w:firstLine="360"/>
        <w:jc w:val="both"/>
      </w:pPr>
      <w:r>
        <w:rPr>
          <w:color w:val="1A1A1A"/>
        </w:rPr>
        <w:t xml:space="preserve">El paso crítico es el 2. La desigualdad debe ser sensible a la estructura específica de NS —Tao demostró que cualquier estimación que funcione también para las ecuaciones promediadas será insuficiente, porque esas ecuaciones sí explotan. La estructura que necesitamos explotar es probablemente la geometría del término de estiramiento de vorticidad (ω · </w:t>
      </w:r>
      <w:proofErr w:type="gramStart"/>
      <w:r>
        <w:rPr>
          <w:color w:val="1A1A1A"/>
        </w:rPr>
        <w:t>∇)u</w:t>
      </w:r>
      <w:proofErr w:type="gramEnd"/>
      <w:r>
        <w:rPr>
          <w:color w:val="1A1A1A"/>
        </w:rPr>
        <w:t xml:space="preserve"> y su interacción con la disipación viscosa.</w:t>
      </w:r>
    </w:p>
    <w:p w14:paraId="74ACDFE0" w14:textId="77777777" w:rsidR="004B1719" w:rsidRDefault="00000000">
      <w:pPr>
        <w:pStyle w:val="Ttulo1"/>
      </w:pPr>
      <w:r>
        <w:rPr>
          <w:color w:val="1A1A2E"/>
        </w:rPr>
        <w:t>5. Conexiones con trabajo existente</w:t>
      </w:r>
    </w:p>
    <w:p w14:paraId="271585D1" w14:textId="77777777" w:rsidR="004B1719" w:rsidRDefault="00000000">
      <w:pPr>
        <w:pStyle w:val="Ttulo2"/>
      </w:pPr>
      <w:r>
        <w:rPr>
          <w:color w:val="16213E"/>
        </w:rPr>
        <w:t>5.1. Resultados que apoyan la dirección</w:t>
      </w:r>
    </w:p>
    <w:p w14:paraId="7FBB7D10" w14:textId="77777777" w:rsidR="004B1719" w:rsidRDefault="00000000">
      <w:pPr>
        <w:spacing w:after="160" w:line="320" w:lineRule="auto"/>
        <w:ind w:firstLine="360"/>
        <w:jc w:val="both"/>
      </w:pPr>
      <w:proofErr w:type="spellStart"/>
      <w:r>
        <w:rPr>
          <w:b/>
          <w:bCs/>
          <w:color w:val="1A1A1A"/>
        </w:rPr>
        <w:t>Caffarelli</w:t>
      </w:r>
      <w:proofErr w:type="spellEnd"/>
      <w:r>
        <w:rPr>
          <w:b/>
          <w:bCs/>
          <w:color w:val="1A1A1A"/>
        </w:rPr>
        <w:t>-Kohn-</w:t>
      </w:r>
      <w:proofErr w:type="spellStart"/>
      <w:r>
        <w:rPr>
          <w:b/>
          <w:bCs/>
          <w:color w:val="1A1A1A"/>
        </w:rPr>
        <w:t>Nirenberg</w:t>
      </w:r>
      <w:proofErr w:type="spellEnd"/>
      <w:r>
        <w:rPr>
          <w:b/>
          <w:bCs/>
          <w:color w:val="1A1A1A"/>
        </w:rPr>
        <w:t xml:space="preserve"> (1982).</w:t>
      </w:r>
      <w:r>
        <w:rPr>
          <w:color w:val="1A1A1A"/>
        </w:rPr>
        <w:t xml:space="preserve"> El conjunto de posibles singularidades tiene dimensión de Hausdorff ≤ 1 en el espacio-tiempo (dimensión 0 en el espacio para cada instante). Esto es consistente con la idea de que la concentración es “carísima”: el sistema solo podría permitirse singularidades en conjuntos extremadamente pequeños.</w:t>
      </w:r>
    </w:p>
    <w:p w14:paraId="56B9BC5B" w14:textId="77777777" w:rsidR="004B1719" w:rsidRDefault="00000000">
      <w:pPr>
        <w:spacing w:after="160" w:line="320" w:lineRule="auto"/>
        <w:ind w:firstLine="360"/>
        <w:jc w:val="both"/>
      </w:pPr>
      <w:proofErr w:type="spellStart"/>
      <w:r>
        <w:rPr>
          <w:b/>
          <w:bCs/>
          <w:color w:val="1A1A1A"/>
        </w:rPr>
        <w:lastRenderedPageBreak/>
        <w:t>Nahmod-Pavlovic-Staffilani</w:t>
      </w:r>
      <w:proofErr w:type="spellEnd"/>
      <w:r>
        <w:rPr>
          <w:b/>
          <w:bCs/>
          <w:color w:val="1A1A1A"/>
        </w:rPr>
        <w:t>.</w:t>
      </w:r>
      <w:r>
        <w:rPr>
          <w:color w:val="1A1A1A"/>
        </w:rPr>
        <w:t xml:space="preserve"> Casi todos los datos iniciales aleatorios admiten soluciones débiles globales. El </w:t>
      </w:r>
      <w:proofErr w:type="spellStart"/>
      <w:r>
        <w:rPr>
          <w:color w:val="1A1A1A"/>
        </w:rPr>
        <w:t>blow</w:t>
      </w:r>
      <w:proofErr w:type="spellEnd"/>
      <w:r>
        <w:rPr>
          <w:color w:val="1A1A1A"/>
        </w:rPr>
        <w:t>-up, si existe, es de medida cero en el espacio de datos iniciales.</w:t>
      </w:r>
    </w:p>
    <w:p w14:paraId="2E7BDE7A" w14:textId="77777777" w:rsidR="004B1719" w:rsidRDefault="00000000">
      <w:pPr>
        <w:spacing w:after="160" w:line="320" w:lineRule="auto"/>
        <w:ind w:firstLine="360"/>
        <w:jc w:val="both"/>
      </w:pPr>
      <w:proofErr w:type="spellStart"/>
      <w:r>
        <w:rPr>
          <w:b/>
          <w:bCs/>
          <w:color w:val="1A1A1A"/>
        </w:rPr>
        <w:t>Leray</w:t>
      </w:r>
      <w:proofErr w:type="spellEnd"/>
      <w:r>
        <w:rPr>
          <w:b/>
          <w:bCs/>
          <w:color w:val="1A1A1A"/>
        </w:rPr>
        <w:t xml:space="preserve"> (1934).</w:t>
      </w:r>
      <w:r>
        <w:rPr>
          <w:color w:val="1A1A1A"/>
        </w:rPr>
        <w:t xml:space="preserve"> La energía cinética total siempre decrece. El “presupuesto” total es finito y se encoge.</w:t>
      </w:r>
    </w:p>
    <w:p w14:paraId="6112CBFB" w14:textId="77777777" w:rsidR="004B1719" w:rsidRDefault="00000000">
      <w:pPr>
        <w:spacing w:after="160" w:line="320" w:lineRule="auto"/>
        <w:ind w:firstLine="360"/>
        <w:jc w:val="both"/>
      </w:pPr>
      <w:r>
        <w:rPr>
          <w:b/>
          <w:bCs/>
          <w:color w:val="1A1A1A"/>
        </w:rPr>
        <w:t>Resultados sobre atractores globales.</w:t>
      </w:r>
      <w:r>
        <w:rPr>
          <w:color w:val="1A1A1A"/>
        </w:rPr>
        <w:t xml:space="preserve"> En 3D, las soluciones débiles de NS tienen un atractor global compacto. Si se pudiera demostrar que este atractor está contenido en el espacio de funciones suaves, la regularidad seguiría. </w:t>
      </w:r>
      <w:proofErr w:type="spellStart"/>
      <w:r>
        <w:rPr>
          <w:color w:val="1A1A1A"/>
        </w:rPr>
        <w:t>Sell</w:t>
      </w:r>
      <w:proofErr w:type="spellEnd"/>
      <w:r>
        <w:rPr>
          <w:color w:val="1A1A1A"/>
        </w:rPr>
        <w:t xml:space="preserve"> (2001) mostró la existencia del atractor; Hala (2025) propuso que la regularidad del atractor implicaría la regularidad global, pero el resultado es condicional.</w:t>
      </w:r>
    </w:p>
    <w:p w14:paraId="292837F9" w14:textId="77777777" w:rsidR="004B1719" w:rsidRDefault="00000000">
      <w:pPr>
        <w:pStyle w:val="Ttulo2"/>
      </w:pPr>
      <w:r>
        <w:rPr>
          <w:color w:val="16213E"/>
        </w:rPr>
        <w:t>5.2. Obstáculos conocidos</w:t>
      </w:r>
    </w:p>
    <w:p w14:paraId="06F8127E" w14:textId="77777777" w:rsidR="004B1719" w:rsidRDefault="00000000">
      <w:pPr>
        <w:spacing w:after="160" w:line="320" w:lineRule="auto"/>
        <w:ind w:firstLine="360"/>
        <w:jc w:val="both"/>
      </w:pPr>
      <w:r>
        <w:rPr>
          <w:b/>
          <w:bCs/>
          <w:color w:val="1A1A1A"/>
        </w:rPr>
        <w:t xml:space="preserve">Barrera de </w:t>
      </w:r>
      <w:proofErr w:type="spellStart"/>
      <w:r>
        <w:rPr>
          <w:b/>
          <w:bCs/>
          <w:color w:val="1A1A1A"/>
        </w:rPr>
        <w:t>supercriticalidad</w:t>
      </w:r>
      <w:proofErr w:type="spellEnd"/>
      <w:r>
        <w:rPr>
          <w:b/>
          <w:bCs/>
          <w:color w:val="1A1A1A"/>
        </w:rPr>
        <w:t xml:space="preserve"> (Tao, 2016).</w:t>
      </w:r>
      <w:r>
        <w:rPr>
          <w:color w:val="1A1A1A"/>
        </w:rPr>
        <w:t xml:space="preserve"> Las técnicas que solo usan estimaciones de cotas superiores en espacios funcionales + identidad de energía no pueden funcionar. Cualquier demostración debe usar algo específico de la estructura de NS que las ecuaciones promediadas no tienen.</w:t>
      </w:r>
    </w:p>
    <w:p w14:paraId="75EA26BD" w14:textId="77777777" w:rsidR="004B1719" w:rsidRDefault="00000000">
      <w:pPr>
        <w:spacing w:after="160" w:line="320" w:lineRule="auto"/>
        <w:ind w:firstLine="360"/>
        <w:jc w:val="both"/>
      </w:pPr>
      <w:r>
        <w:rPr>
          <w:b/>
          <w:bCs/>
          <w:color w:val="1A1A1A"/>
        </w:rPr>
        <w:t>Circularidad potencial.</w:t>
      </w:r>
      <w:r>
        <w:rPr>
          <w:color w:val="1A1A1A"/>
        </w:rPr>
        <w:t xml:space="preserve"> El argumento de autorregulación por vórtices podría ser circular: la localidad de la cascada podría depender de la regularidad de las soluciones, no al revés. Si la solución pierde regularidad, la cascada podría dejar de ser local precisamente en el momento del </w:t>
      </w:r>
      <w:proofErr w:type="spellStart"/>
      <w:r>
        <w:rPr>
          <w:color w:val="1A1A1A"/>
        </w:rPr>
        <w:t>blow</w:t>
      </w:r>
      <w:proofErr w:type="spellEnd"/>
      <w:r>
        <w:rPr>
          <w:color w:val="1A1A1A"/>
        </w:rPr>
        <w:t>-up.</w:t>
      </w:r>
    </w:p>
    <w:p w14:paraId="32DD1EFE" w14:textId="77777777" w:rsidR="004B1719" w:rsidRDefault="00000000">
      <w:pPr>
        <w:spacing w:after="160" w:line="320" w:lineRule="auto"/>
        <w:ind w:firstLine="360"/>
        <w:jc w:val="both"/>
      </w:pPr>
      <w:r>
        <w:rPr>
          <w:b/>
          <w:bCs/>
          <w:color w:val="1A1A1A"/>
        </w:rPr>
        <w:t>Convergencia tipo Zenón.</w:t>
      </w:r>
      <w:r>
        <w:rPr>
          <w:color w:val="1A1A1A"/>
        </w:rPr>
        <w:t xml:space="preserve"> En la cascada de </w:t>
      </w:r>
      <w:proofErr w:type="spellStart"/>
      <w:r>
        <w:rPr>
          <w:color w:val="1A1A1A"/>
        </w:rPr>
        <w:t>Kolmogorov</w:t>
      </w:r>
      <w:proofErr w:type="spellEnd"/>
      <w:r>
        <w:rPr>
          <w:color w:val="1A1A1A"/>
        </w:rPr>
        <w:t>, los tiempos característicos decrecen con la escala. Hay que demostrar que la viscosidad contrarresta esta aceleración lo suficiente como para impedir el recorrido completo de la cascada en tiempo finito.</w:t>
      </w:r>
    </w:p>
    <w:p w14:paraId="67FAB356" w14:textId="77777777" w:rsidR="004B1719" w:rsidRDefault="00000000">
      <w:pPr>
        <w:spacing w:after="160" w:line="320" w:lineRule="auto"/>
        <w:ind w:firstLine="360"/>
        <w:jc w:val="both"/>
      </w:pPr>
      <w:r>
        <w:rPr>
          <w:b/>
          <w:bCs/>
          <w:color w:val="1A1A1A"/>
        </w:rPr>
        <w:t>Concentración local vs. global.</w:t>
      </w:r>
      <w:r>
        <w:rPr>
          <w:color w:val="1A1A1A"/>
        </w:rPr>
        <w:t xml:space="preserve"> La energía total decrece, pero eso no impide concentración local. La analogía gravitatoria (Penrose): en gravitación, la concentración de masa aumenta la entropía (agujeros negros). ¿Se comporta la energía cinética de un fluido como energía térmica (se dispersa) o como gravedad (se concentra)? Todo indica lo primero, pero falta la prueba.</w:t>
      </w:r>
    </w:p>
    <w:p w14:paraId="17BEEBDF" w14:textId="77777777" w:rsidR="004B1719" w:rsidRDefault="00000000">
      <w:r>
        <w:br w:type="page"/>
      </w:r>
    </w:p>
    <w:p w14:paraId="126B86A2" w14:textId="77777777" w:rsidR="004B1719" w:rsidRDefault="00000000">
      <w:pPr>
        <w:pStyle w:val="Ttulo1"/>
      </w:pPr>
      <w:r>
        <w:rPr>
          <w:color w:val="1A1A2E"/>
        </w:rPr>
        <w:lastRenderedPageBreak/>
        <w:t>6. Preguntas concretas para el investigador</w:t>
      </w:r>
    </w:p>
    <w:p w14:paraId="4218A64E" w14:textId="77777777" w:rsidR="004B1719" w:rsidRDefault="00000000">
      <w:pPr>
        <w:spacing w:after="160" w:line="320" w:lineRule="auto"/>
        <w:jc w:val="both"/>
      </w:pPr>
      <w:r>
        <w:rPr>
          <w:color w:val="1A1A1A"/>
        </w:rPr>
        <w:t>Si has llegado hasta aquí y tienes formación en EDP, análisis funcional o dinámica de fluidos, estas son las preguntas que creemos que merece la pena atacar:</w:t>
      </w:r>
    </w:p>
    <w:p w14:paraId="46B0D3AE" w14:textId="77777777" w:rsidR="004B1719" w:rsidRDefault="004B1719">
      <w:pPr>
        <w:spacing w:before="50" w:after="50"/>
      </w:pPr>
    </w:p>
    <w:p w14:paraId="08B58FC8" w14:textId="77777777" w:rsidR="004B1719" w:rsidRDefault="00000000">
      <w:pPr>
        <w:spacing w:after="160" w:line="320" w:lineRule="auto"/>
        <w:ind w:firstLine="360"/>
        <w:jc w:val="both"/>
      </w:pPr>
      <w:r>
        <w:rPr>
          <w:b/>
          <w:bCs/>
          <w:color w:val="1A1A1A"/>
        </w:rPr>
        <w:t>Pregunta 1.</w:t>
      </w:r>
      <w:r>
        <w:rPr>
          <w:color w:val="1A1A1A"/>
        </w:rPr>
        <w:t xml:space="preserve"> ¿Existe un funcional de concentración C(L) —definido en términos de </w:t>
      </w:r>
      <w:proofErr w:type="spellStart"/>
      <w:r>
        <w:rPr>
          <w:color w:val="1A1A1A"/>
        </w:rPr>
        <w:t>enstrofia</w:t>
      </w:r>
      <w:proofErr w:type="spellEnd"/>
      <w:r>
        <w:rPr>
          <w:color w:val="1A1A1A"/>
        </w:rPr>
        <w:t xml:space="preserve"> local o normas críticas en bolas de radio L— que diverja cuando L → 0 como consecuencia de la estructura específica del término no lineal de NS (y que no diverja para las ecuaciones promediadas de Tao)?</w:t>
      </w:r>
    </w:p>
    <w:p w14:paraId="3859AFC4" w14:textId="77777777" w:rsidR="004B1719" w:rsidRDefault="00000000">
      <w:pPr>
        <w:spacing w:after="160" w:line="320" w:lineRule="auto"/>
        <w:ind w:firstLine="360"/>
        <w:jc w:val="both"/>
      </w:pPr>
      <w:r>
        <w:rPr>
          <w:b/>
          <w:bCs/>
          <w:color w:val="1A1A1A"/>
        </w:rPr>
        <w:t>Pregunta 2.</w:t>
      </w:r>
      <w:r>
        <w:rPr>
          <w:color w:val="1A1A1A"/>
        </w:rPr>
        <w:t xml:space="preserve"> ¿Se puede formalizar la idea de que la formación de vórtices (estiramiento de vorticidad controlado por geometría) es un mecanismo de redistribución energética que tiene menor coste que la concentración, usando principios variacionales?</w:t>
      </w:r>
    </w:p>
    <w:p w14:paraId="63B8D050" w14:textId="77777777" w:rsidR="004B1719" w:rsidRDefault="00000000">
      <w:pPr>
        <w:spacing w:after="160" w:line="320" w:lineRule="auto"/>
        <w:ind w:firstLine="360"/>
        <w:jc w:val="both"/>
      </w:pPr>
      <w:r>
        <w:rPr>
          <w:b/>
          <w:bCs/>
          <w:color w:val="1A1A1A"/>
        </w:rPr>
        <w:t>Pregunta 3.</w:t>
      </w:r>
      <w:r>
        <w:rPr>
          <w:color w:val="1A1A1A"/>
        </w:rPr>
        <w:t xml:space="preserve"> La cascada de </w:t>
      </w:r>
      <w:proofErr w:type="spellStart"/>
      <w:r>
        <w:rPr>
          <w:color w:val="1A1A1A"/>
        </w:rPr>
        <w:t>Kolmogorov</w:t>
      </w:r>
      <w:proofErr w:type="spellEnd"/>
      <w:r>
        <w:rPr>
          <w:color w:val="1A1A1A"/>
        </w:rPr>
        <w:t xml:space="preserve"> tiene tiempos característicos τ(k) ~ k</w:t>
      </w:r>
      <w:proofErr w:type="gramStart"/>
      <w:r>
        <w:rPr>
          <w:color w:val="1A1A1A"/>
        </w:rPr>
        <w:t>^{</w:t>
      </w:r>
      <w:proofErr w:type="gramEnd"/>
      <w:r>
        <w:rPr>
          <w:color w:val="1A1A1A"/>
        </w:rPr>
        <w:t xml:space="preserve">−2/3} en el rango inercial. La disipación viscosa introduce un corte en la escala de </w:t>
      </w:r>
      <w:proofErr w:type="spellStart"/>
      <w:r>
        <w:rPr>
          <w:color w:val="1A1A1A"/>
        </w:rPr>
        <w:t>Kolmogorov</w:t>
      </w:r>
      <w:proofErr w:type="spellEnd"/>
      <w:r>
        <w:rPr>
          <w:color w:val="1A1A1A"/>
        </w:rPr>
        <w:t xml:space="preserve"> η ~ (Re)</w:t>
      </w:r>
      <w:proofErr w:type="gramStart"/>
      <w:r>
        <w:rPr>
          <w:color w:val="1A1A1A"/>
        </w:rPr>
        <w:t>^{</w:t>
      </w:r>
      <w:proofErr w:type="gramEnd"/>
      <w:r>
        <w:rPr>
          <w:color w:val="1A1A1A"/>
        </w:rPr>
        <w:t>−3/4}. ¿Se puede demostrar que el “tiempo total de cascada” ∑ τ(k) (con la modificación viscosa) diverge, es decir, que la cascada no puede completarse en tiempo finito?</w:t>
      </w:r>
    </w:p>
    <w:p w14:paraId="441C6C4C" w14:textId="77777777" w:rsidR="004B1719" w:rsidRDefault="00000000">
      <w:pPr>
        <w:spacing w:after="160" w:line="320" w:lineRule="auto"/>
        <w:ind w:firstLine="360"/>
        <w:jc w:val="both"/>
      </w:pPr>
      <w:r>
        <w:rPr>
          <w:b/>
          <w:bCs/>
          <w:color w:val="1A1A1A"/>
        </w:rPr>
        <w:t>Pregunta 4.</w:t>
      </w:r>
      <w:r>
        <w:rPr>
          <w:color w:val="1A1A1A"/>
        </w:rPr>
        <w:t xml:space="preserve"> Los resultados de CKN (1982) muestran que las singularidades posibles tienen dimensión de Hausdorff ≤ 1. ¿Se puede refinar esto usando argumentos energéticos específicos (no solo estimaciones de escala) para reducir la dimensión a 0 (puntos aislados) y luego excluir esos puntos?</w:t>
      </w:r>
    </w:p>
    <w:p w14:paraId="11737448" w14:textId="77777777" w:rsidR="004B1719" w:rsidRDefault="00000000">
      <w:pPr>
        <w:spacing w:after="160" w:line="320" w:lineRule="auto"/>
        <w:ind w:firstLine="360"/>
        <w:jc w:val="both"/>
      </w:pPr>
      <w:r>
        <w:rPr>
          <w:b/>
          <w:bCs/>
          <w:color w:val="1A1A1A"/>
        </w:rPr>
        <w:t>Pregunta 5 (meta-pregunta).</w:t>
      </w:r>
      <w:r>
        <w:rPr>
          <w:color w:val="1A1A1A"/>
        </w:rPr>
        <w:t xml:space="preserve"> ¿Es posible formalizar el argumento estadístico (</w:t>
      </w:r>
      <w:proofErr w:type="spellStart"/>
      <w:r>
        <w:rPr>
          <w:color w:val="1A1A1A"/>
        </w:rPr>
        <w:t>blow</w:t>
      </w:r>
      <w:proofErr w:type="spellEnd"/>
      <w:r>
        <w:rPr>
          <w:color w:val="1A1A1A"/>
        </w:rPr>
        <w:t>-up tiene medida cero en datos iniciales) como un argumento energético-variacional (</w:t>
      </w:r>
      <w:proofErr w:type="spellStart"/>
      <w:r>
        <w:rPr>
          <w:color w:val="1A1A1A"/>
        </w:rPr>
        <w:t>blow</w:t>
      </w:r>
      <w:proofErr w:type="spellEnd"/>
      <w:r>
        <w:rPr>
          <w:color w:val="1A1A1A"/>
        </w:rPr>
        <w:t>-up tiene coste energético infinito), transformando un resultado de genericidad en un resultado determinista?</w:t>
      </w:r>
    </w:p>
    <w:p w14:paraId="1540AB60" w14:textId="77777777" w:rsidR="004B1719" w:rsidRDefault="00000000">
      <w:r>
        <w:br w:type="page"/>
      </w:r>
    </w:p>
    <w:p w14:paraId="6CFB44B5" w14:textId="77777777" w:rsidR="004B1719" w:rsidRDefault="00000000">
      <w:pPr>
        <w:pStyle w:val="Ttulo1"/>
      </w:pPr>
      <w:r>
        <w:rPr>
          <w:color w:val="1A1A2E"/>
        </w:rPr>
        <w:lastRenderedPageBreak/>
        <w:t>7. Lo que la IA pudo y no pudo hacer</w:t>
      </w:r>
    </w:p>
    <w:p w14:paraId="7E87D4DA" w14:textId="77777777" w:rsidR="004B1719" w:rsidRDefault="00000000">
      <w:pPr>
        <w:spacing w:after="160" w:line="320" w:lineRule="auto"/>
        <w:jc w:val="both"/>
      </w:pPr>
      <w:r>
        <w:rPr>
          <w:color w:val="1A1A1A"/>
        </w:rPr>
        <w:t>Este documento existe porque la conversación entre un humano con intuición físico-estructural y una IA con acceso a la literatura produjo algo que ninguno de los dos habría producido solo:</w:t>
      </w:r>
    </w:p>
    <w:p w14:paraId="3BFDAE33" w14:textId="77777777" w:rsidR="004B1719" w:rsidRDefault="00000000">
      <w:pPr>
        <w:spacing w:after="160" w:line="320" w:lineRule="auto"/>
        <w:ind w:firstLine="360"/>
        <w:jc w:val="both"/>
      </w:pPr>
      <w:r>
        <w:rPr>
          <w:b/>
          <w:bCs/>
          <w:color w:val="1A1A1A"/>
        </w:rPr>
        <w:t xml:space="preserve">El humano aportó: </w:t>
      </w:r>
      <w:r>
        <w:rPr>
          <w:color w:val="1A1A1A"/>
        </w:rPr>
        <w:t>la analogía con equilibrio de fuerzas en estructuras, la observación de que los vórtices son respuesta y no síntoma, la conexión con la termodinámica de Penrose, la identificación de la paradoja de Zenón como test de consistencia, y la crítica epistemológica de que la dicotomía física/matemáticas es artificial.</w:t>
      </w:r>
    </w:p>
    <w:p w14:paraId="0E10AFE0" w14:textId="77777777" w:rsidR="004B1719" w:rsidRDefault="00000000">
      <w:pPr>
        <w:spacing w:after="160" w:line="320" w:lineRule="auto"/>
        <w:ind w:firstLine="360"/>
        <w:jc w:val="both"/>
      </w:pPr>
      <w:r>
        <w:rPr>
          <w:b/>
          <w:bCs/>
          <w:color w:val="1A1A1A"/>
        </w:rPr>
        <w:t xml:space="preserve">La IA aportó: </w:t>
      </w:r>
      <w:r>
        <w:rPr>
          <w:color w:val="1A1A1A"/>
        </w:rPr>
        <w:t xml:space="preserve">el contexto técnico (resultados de </w:t>
      </w:r>
      <w:proofErr w:type="spellStart"/>
      <w:r>
        <w:rPr>
          <w:color w:val="1A1A1A"/>
        </w:rPr>
        <w:t>Leray</w:t>
      </w:r>
      <w:proofErr w:type="spellEnd"/>
      <w:r>
        <w:rPr>
          <w:color w:val="1A1A1A"/>
        </w:rPr>
        <w:t xml:space="preserve">, CKN, Tao, </w:t>
      </w:r>
      <w:proofErr w:type="spellStart"/>
      <w:r>
        <w:rPr>
          <w:color w:val="1A1A1A"/>
        </w:rPr>
        <w:t>Kolmogorov</w:t>
      </w:r>
      <w:proofErr w:type="spellEnd"/>
      <w:r>
        <w:rPr>
          <w:color w:val="1A1A1A"/>
        </w:rPr>
        <w:t>), la verificación en la literatura de que las intuiciones eran compatibles con el estado del arte, la formalización de las grietas del argumento, y la búsqueda sistemática de trabajo previo en la dirección sugerida.</w:t>
      </w:r>
    </w:p>
    <w:p w14:paraId="3137D395" w14:textId="77777777" w:rsidR="004B1719" w:rsidRDefault="00000000">
      <w:pPr>
        <w:spacing w:after="160" w:line="320" w:lineRule="auto"/>
        <w:ind w:firstLine="360"/>
        <w:jc w:val="both"/>
      </w:pPr>
      <w:r>
        <w:rPr>
          <w:b/>
          <w:bCs/>
          <w:color w:val="1A1A1A"/>
        </w:rPr>
        <w:t xml:space="preserve">Lo que falta —y que ni la IA ni el humano pudieron hacer— </w:t>
      </w:r>
      <w:r>
        <w:rPr>
          <w:color w:val="1A1A1A"/>
        </w:rPr>
        <w:t xml:space="preserve">es la demostración: la desigualdad concreta, la estimación fina, el argumento técnico que cierre el paso de “la singularidad es energéticamente costosa” a “la singularidad es energéticamente imposible dada la energía disponible”. Eso requiere años de trabajo técnico de </w:t>
      </w:r>
      <w:proofErr w:type="spellStart"/>
      <w:r>
        <w:rPr>
          <w:color w:val="1A1A1A"/>
        </w:rPr>
        <w:t>altaimo</w:t>
      </w:r>
      <w:proofErr w:type="spellEnd"/>
      <w:r>
        <w:rPr>
          <w:color w:val="1A1A1A"/>
        </w:rPr>
        <w:t xml:space="preserve"> nivel en análisis funcional y EDP. Requiere, en otras palabras, un matemático.</w:t>
      </w:r>
    </w:p>
    <w:p w14:paraId="45BCBF3D" w14:textId="77777777" w:rsidR="004B1719" w:rsidRDefault="00000000">
      <w:pPr>
        <w:spacing w:before="200" w:after="200"/>
        <w:jc w:val="center"/>
      </w:pPr>
      <w:r>
        <w:rPr>
          <w:color w:val="999999"/>
        </w:rPr>
        <w:t>———</w:t>
      </w:r>
    </w:p>
    <w:p w14:paraId="75016544" w14:textId="77777777" w:rsidR="004B1719" w:rsidRDefault="00000000">
      <w:pPr>
        <w:spacing w:after="160" w:line="320" w:lineRule="auto"/>
        <w:jc w:val="center"/>
      </w:pPr>
      <w:r>
        <w:rPr>
          <w:color w:val="1A1A1A"/>
        </w:rPr>
        <w:t>Si algo de lo que se presenta aquí te parece prometedor, erróneo o ingenuo, agradeceríamos saberlo. La dirección de contacto está en i-arquitectura.es.</w:t>
      </w:r>
    </w:p>
    <w:p w14:paraId="5196E74D" w14:textId="77777777" w:rsidR="004B1719" w:rsidRDefault="00000000">
      <w:r>
        <w:br w:type="page"/>
      </w:r>
    </w:p>
    <w:p w14:paraId="253449B8" w14:textId="77777777" w:rsidR="004B1719" w:rsidRDefault="00000000">
      <w:pPr>
        <w:pStyle w:val="Ttulo1"/>
      </w:pPr>
      <w:r>
        <w:rPr>
          <w:color w:val="1A1A2E"/>
        </w:rPr>
        <w:lastRenderedPageBreak/>
        <w:t>Referencias fundamentales</w:t>
      </w:r>
    </w:p>
    <w:p w14:paraId="61FCDC07" w14:textId="77777777" w:rsidR="004B1719" w:rsidRPr="00315D0F" w:rsidRDefault="00000000">
      <w:pPr>
        <w:spacing w:after="160" w:line="320" w:lineRule="auto"/>
        <w:jc w:val="both"/>
        <w:rPr>
          <w:lang w:val="en-US"/>
        </w:rPr>
      </w:pPr>
      <w:proofErr w:type="spellStart"/>
      <w:r w:rsidRPr="00315D0F">
        <w:rPr>
          <w:color w:val="1A1A1A"/>
          <w:sz w:val="20"/>
          <w:szCs w:val="20"/>
          <w:lang w:val="en-US"/>
        </w:rPr>
        <w:t>Leray</w:t>
      </w:r>
      <w:proofErr w:type="spellEnd"/>
      <w:r w:rsidRPr="00315D0F">
        <w:rPr>
          <w:color w:val="1A1A1A"/>
          <w:sz w:val="20"/>
          <w:szCs w:val="20"/>
          <w:lang w:val="en-US"/>
        </w:rPr>
        <w:t xml:space="preserve">, J. (1934). “Sur le </w:t>
      </w:r>
      <w:proofErr w:type="spellStart"/>
      <w:r w:rsidRPr="00315D0F">
        <w:rPr>
          <w:color w:val="1A1A1A"/>
          <w:sz w:val="20"/>
          <w:szCs w:val="20"/>
          <w:lang w:val="en-US"/>
        </w:rPr>
        <w:t>mouvement</w:t>
      </w:r>
      <w:proofErr w:type="spellEnd"/>
      <w:r w:rsidRPr="00315D0F">
        <w:rPr>
          <w:color w:val="1A1A1A"/>
          <w:sz w:val="20"/>
          <w:szCs w:val="20"/>
          <w:lang w:val="en-US"/>
        </w:rPr>
        <w:t xml:space="preserve"> d’un </w:t>
      </w:r>
      <w:proofErr w:type="spellStart"/>
      <w:r w:rsidRPr="00315D0F">
        <w:rPr>
          <w:color w:val="1A1A1A"/>
          <w:sz w:val="20"/>
          <w:szCs w:val="20"/>
          <w:lang w:val="en-US"/>
        </w:rPr>
        <w:t>liquide</w:t>
      </w:r>
      <w:proofErr w:type="spellEnd"/>
      <w:r w:rsidRPr="00315D0F">
        <w:rPr>
          <w:color w:val="1A1A1A"/>
          <w:sz w:val="20"/>
          <w:szCs w:val="20"/>
          <w:lang w:val="en-US"/>
        </w:rPr>
        <w:t xml:space="preserve"> </w:t>
      </w:r>
      <w:proofErr w:type="spellStart"/>
      <w:r w:rsidRPr="00315D0F">
        <w:rPr>
          <w:color w:val="1A1A1A"/>
          <w:sz w:val="20"/>
          <w:szCs w:val="20"/>
          <w:lang w:val="en-US"/>
        </w:rPr>
        <w:t>visqueux</w:t>
      </w:r>
      <w:proofErr w:type="spellEnd"/>
      <w:r w:rsidRPr="00315D0F">
        <w:rPr>
          <w:color w:val="1A1A1A"/>
          <w:sz w:val="20"/>
          <w:szCs w:val="20"/>
          <w:lang w:val="en-US"/>
        </w:rPr>
        <w:t xml:space="preserve"> </w:t>
      </w:r>
      <w:proofErr w:type="spellStart"/>
      <w:r w:rsidRPr="00315D0F">
        <w:rPr>
          <w:color w:val="1A1A1A"/>
          <w:sz w:val="20"/>
          <w:szCs w:val="20"/>
          <w:lang w:val="en-US"/>
        </w:rPr>
        <w:t>emplissant</w:t>
      </w:r>
      <w:proofErr w:type="spellEnd"/>
      <w:r w:rsidRPr="00315D0F">
        <w:rPr>
          <w:color w:val="1A1A1A"/>
          <w:sz w:val="20"/>
          <w:szCs w:val="20"/>
          <w:lang w:val="en-US"/>
        </w:rPr>
        <w:t xml:space="preserve"> </w:t>
      </w:r>
      <w:proofErr w:type="spellStart"/>
      <w:r w:rsidRPr="00315D0F">
        <w:rPr>
          <w:color w:val="1A1A1A"/>
          <w:sz w:val="20"/>
          <w:szCs w:val="20"/>
          <w:lang w:val="en-US"/>
        </w:rPr>
        <w:t>l’espace</w:t>
      </w:r>
      <w:proofErr w:type="spellEnd"/>
      <w:r w:rsidRPr="00315D0F">
        <w:rPr>
          <w:color w:val="1A1A1A"/>
          <w:sz w:val="20"/>
          <w:szCs w:val="20"/>
          <w:lang w:val="en-US"/>
        </w:rPr>
        <w:t>.” Acta Mathematica, 63, 193–248.</w:t>
      </w:r>
    </w:p>
    <w:p w14:paraId="3C91DD9F" w14:textId="77777777" w:rsidR="004B1719" w:rsidRPr="00315D0F" w:rsidRDefault="00000000">
      <w:pPr>
        <w:spacing w:after="160" w:line="320" w:lineRule="auto"/>
        <w:jc w:val="both"/>
        <w:rPr>
          <w:lang w:val="en-US"/>
        </w:rPr>
      </w:pPr>
      <w:proofErr w:type="spellStart"/>
      <w:r w:rsidRPr="00315D0F">
        <w:rPr>
          <w:color w:val="1A1A1A"/>
          <w:sz w:val="20"/>
          <w:szCs w:val="20"/>
          <w:lang w:val="en-US"/>
        </w:rPr>
        <w:t>Caffarelli</w:t>
      </w:r>
      <w:proofErr w:type="spellEnd"/>
      <w:r w:rsidRPr="00315D0F">
        <w:rPr>
          <w:color w:val="1A1A1A"/>
          <w:sz w:val="20"/>
          <w:szCs w:val="20"/>
          <w:lang w:val="en-US"/>
        </w:rPr>
        <w:t>, L., Kohn, R. &amp; Nirenberg, L. (1982). “Partial regularity of suitable weak solutions of the Navier-Stokes equations.” Comm. Pure Appl. Math., 35(6), 771–831.</w:t>
      </w:r>
    </w:p>
    <w:p w14:paraId="42EFF7E0" w14:textId="77777777" w:rsidR="004B1719" w:rsidRPr="00315D0F" w:rsidRDefault="00000000">
      <w:pPr>
        <w:spacing w:after="160" w:line="320" w:lineRule="auto"/>
        <w:jc w:val="both"/>
        <w:rPr>
          <w:lang w:val="en-US"/>
        </w:rPr>
      </w:pPr>
      <w:r w:rsidRPr="00315D0F">
        <w:rPr>
          <w:color w:val="1A1A1A"/>
          <w:sz w:val="20"/>
          <w:szCs w:val="20"/>
          <w:lang w:val="en-US"/>
        </w:rPr>
        <w:t xml:space="preserve">Kolmogorov, A. N. (1941). “The local structure of turbulence in incompressible viscous fluid for very large Reynolds numbers.” </w:t>
      </w:r>
      <w:proofErr w:type="spellStart"/>
      <w:r w:rsidRPr="00315D0F">
        <w:rPr>
          <w:color w:val="1A1A1A"/>
          <w:sz w:val="20"/>
          <w:szCs w:val="20"/>
          <w:lang w:val="en-US"/>
        </w:rPr>
        <w:t>Doklady</w:t>
      </w:r>
      <w:proofErr w:type="spellEnd"/>
      <w:r w:rsidRPr="00315D0F">
        <w:rPr>
          <w:color w:val="1A1A1A"/>
          <w:sz w:val="20"/>
          <w:szCs w:val="20"/>
          <w:lang w:val="en-US"/>
        </w:rPr>
        <w:t xml:space="preserve"> </w:t>
      </w:r>
      <w:proofErr w:type="spellStart"/>
      <w:r w:rsidRPr="00315D0F">
        <w:rPr>
          <w:color w:val="1A1A1A"/>
          <w:sz w:val="20"/>
          <w:szCs w:val="20"/>
          <w:lang w:val="en-US"/>
        </w:rPr>
        <w:t>Akademii</w:t>
      </w:r>
      <w:proofErr w:type="spellEnd"/>
      <w:r w:rsidRPr="00315D0F">
        <w:rPr>
          <w:color w:val="1A1A1A"/>
          <w:sz w:val="20"/>
          <w:szCs w:val="20"/>
          <w:lang w:val="en-US"/>
        </w:rPr>
        <w:t xml:space="preserve"> </w:t>
      </w:r>
      <w:proofErr w:type="spellStart"/>
      <w:r w:rsidRPr="00315D0F">
        <w:rPr>
          <w:color w:val="1A1A1A"/>
          <w:sz w:val="20"/>
          <w:szCs w:val="20"/>
          <w:lang w:val="en-US"/>
        </w:rPr>
        <w:t>Nauk</w:t>
      </w:r>
      <w:proofErr w:type="spellEnd"/>
      <w:r w:rsidRPr="00315D0F">
        <w:rPr>
          <w:color w:val="1A1A1A"/>
          <w:sz w:val="20"/>
          <w:szCs w:val="20"/>
          <w:lang w:val="en-US"/>
        </w:rPr>
        <w:t xml:space="preserve"> SSSR, 30(4), 299–303.</w:t>
      </w:r>
    </w:p>
    <w:p w14:paraId="0B05216C" w14:textId="77777777" w:rsidR="004B1719" w:rsidRPr="00315D0F" w:rsidRDefault="00000000">
      <w:pPr>
        <w:spacing w:after="160" w:line="320" w:lineRule="auto"/>
        <w:jc w:val="both"/>
        <w:rPr>
          <w:lang w:val="en-US"/>
        </w:rPr>
      </w:pPr>
      <w:r w:rsidRPr="00315D0F">
        <w:rPr>
          <w:color w:val="1A1A1A"/>
          <w:sz w:val="20"/>
          <w:szCs w:val="20"/>
          <w:lang w:val="en-US"/>
        </w:rPr>
        <w:t>Tao, T. (2016). “Finite time blowup for an averaged three-dimensional Navier-Stokes equation.” J. Amer. Math. Soc., 29(3), 601–674.</w:t>
      </w:r>
    </w:p>
    <w:p w14:paraId="5EDFE5ED" w14:textId="77777777" w:rsidR="004B1719" w:rsidRPr="00315D0F" w:rsidRDefault="00000000">
      <w:pPr>
        <w:spacing w:after="160" w:line="320" w:lineRule="auto"/>
        <w:jc w:val="both"/>
        <w:rPr>
          <w:lang w:val="en-US"/>
        </w:rPr>
      </w:pPr>
      <w:r w:rsidRPr="00315D0F">
        <w:rPr>
          <w:color w:val="1A1A1A"/>
          <w:sz w:val="20"/>
          <w:szCs w:val="20"/>
          <w:lang w:val="en-US"/>
        </w:rPr>
        <w:t xml:space="preserve">Nahmod, A., Pavlovic, N. &amp; </w:t>
      </w:r>
      <w:proofErr w:type="spellStart"/>
      <w:r w:rsidRPr="00315D0F">
        <w:rPr>
          <w:color w:val="1A1A1A"/>
          <w:sz w:val="20"/>
          <w:szCs w:val="20"/>
          <w:lang w:val="en-US"/>
        </w:rPr>
        <w:t>Staffilani</w:t>
      </w:r>
      <w:proofErr w:type="spellEnd"/>
      <w:r w:rsidRPr="00315D0F">
        <w:rPr>
          <w:color w:val="1A1A1A"/>
          <w:sz w:val="20"/>
          <w:szCs w:val="20"/>
          <w:lang w:val="en-US"/>
        </w:rPr>
        <w:t>, G. (2012). “Almost sure existence of global weak solutions for supercritical Navier-Stokes equations.” SIAM J. Math. Anal., 44(6), 4006–4037.</w:t>
      </w:r>
    </w:p>
    <w:p w14:paraId="4E84B00E" w14:textId="77777777" w:rsidR="004B1719" w:rsidRPr="00315D0F" w:rsidRDefault="00000000">
      <w:pPr>
        <w:spacing w:after="160" w:line="320" w:lineRule="auto"/>
        <w:jc w:val="both"/>
        <w:rPr>
          <w:lang w:val="en-US"/>
        </w:rPr>
      </w:pPr>
      <w:r w:rsidRPr="00315D0F">
        <w:rPr>
          <w:color w:val="1A1A1A"/>
          <w:sz w:val="20"/>
          <w:szCs w:val="20"/>
          <w:lang w:val="en-US"/>
        </w:rPr>
        <w:t xml:space="preserve">Sell, G. R. (2001). “Global attractors for the three-dimensional Navier-Stokes equations.” J. Dynamics Diff. </w:t>
      </w:r>
      <w:proofErr w:type="spellStart"/>
      <w:r w:rsidRPr="00315D0F">
        <w:rPr>
          <w:color w:val="1A1A1A"/>
          <w:sz w:val="20"/>
          <w:szCs w:val="20"/>
          <w:lang w:val="en-US"/>
        </w:rPr>
        <w:t>Equ</w:t>
      </w:r>
      <w:proofErr w:type="spellEnd"/>
      <w:r w:rsidRPr="00315D0F">
        <w:rPr>
          <w:color w:val="1A1A1A"/>
          <w:sz w:val="20"/>
          <w:szCs w:val="20"/>
          <w:lang w:val="en-US"/>
        </w:rPr>
        <w:t>., 8(1), 1–33.</w:t>
      </w:r>
    </w:p>
    <w:p w14:paraId="5362E5B2" w14:textId="77777777" w:rsidR="004B1719" w:rsidRPr="00315D0F" w:rsidRDefault="00000000">
      <w:pPr>
        <w:spacing w:after="160" w:line="320" w:lineRule="auto"/>
        <w:jc w:val="both"/>
        <w:rPr>
          <w:lang w:val="en-US"/>
        </w:rPr>
      </w:pPr>
      <w:r w:rsidRPr="00315D0F">
        <w:rPr>
          <w:color w:val="1A1A1A"/>
          <w:sz w:val="20"/>
          <w:szCs w:val="20"/>
          <w:lang w:val="en-US"/>
        </w:rPr>
        <w:t>Penrose, R. (2004). The Road to Reality: A Complete Guide to the Laws of the Universe. Jonathan Cape.</w:t>
      </w:r>
    </w:p>
    <w:p w14:paraId="1412CAFD" w14:textId="77777777" w:rsidR="004B1719" w:rsidRPr="00315D0F" w:rsidRDefault="00000000">
      <w:pPr>
        <w:spacing w:after="160" w:line="320" w:lineRule="auto"/>
        <w:jc w:val="both"/>
        <w:rPr>
          <w:lang w:val="en-US"/>
        </w:rPr>
      </w:pPr>
      <w:r w:rsidRPr="00315D0F">
        <w:rPr>
          <w:color w:val="1A1A1A"/>
          <w:sz w:val="20"/>
          <w:szCs w:val="20"/>
          <w:lang w:val="en-US"/>
        </w:rPr>
        <w:t>Feynman, R. P. (1964). The Feynman Lectures on Physics, Vol. 1, Cap. 3. Addison-Wesley.</w:t>
      </w:r>
    </w:p>
    <w:p w14:paraId="3001FFE9" w14:textId="77777777" w:rsidR="004B1719" w:rsidRPr="00315D0F" w:rsidRDefault="00000000">
      <w:pPr>
        <w:spacing w:after="160" w:line="320" w:lineRule="auto"/>
        <w:jc w:val="both"/>
        <w:rPr>
          <w:lang w:val="en-US"/>
        </w:rPr>
      </w:pPr>
      <w:proofErr w:type="spellStart"/>
      <w:r w:rsidRPr="00315D0F">
        <w:rPr>
          <w:color w:val="1A1A1A"/>
          <w:sz w:val="20"/>
          <w:szCs w:val="20"/>
          <w:lang w:val="en-US"/>
        </w:rPr>
        <w:t>Foias</w:t>
      </w:r>
      <w:proofErr w:type="spellEnd"/>
      <w:r w:rsidRPr="00315D0F">
        <w:rPr>
          <w:color w:val="1A1A1A"/>
          <w:sz w:val="20"/>
          <w:szCs w:val="20"/>
          <w:lang w:val="en-US"/>
        </w:rPr>
        <w:t xml:space="preserve">, C. &amp; </w:t>
      </w:r>
      <w:proofErr w:type="spellStart"/>
      <w:r w:rsidRPr="00315D0F">
        <w:rPr>
          <w:color w:val="1A1A1A"/>
          <w:sz w:val="20"/>
          <w:szCs w:val="20"/>
          <w:lang w:val="en-US"/>
        </w:rPr>
        <w:t>Temam</w:t>
      </w:r>
      <w:proofErr w:type="spellEnd"/>
      <w:r w:rsidRPr="00315D0F">
        <w:rPr>
          <w:color w:val="1A1A1A"/>
          <w:sz w:val="20"/>
          <w:szCs w:val="20"/>
          <w:lang w:val="en-US"/>
        </w:rPr>
        <w:t xml:space="preserve">, R. (1979). “Some analytic and geometric properties of the solutions of the Navier-Stokes equations.” J. Math. </w:t>
      </w:r>
      <w:proofErr w:type="spellStart"/>
      <w:r w:rsidRPr="00315D0F">
        <w:rPr>
          <w:color w:val="1A1A1A"/>
          <w:sz w:val="20"/>
          <w:szCs w:val="20"/>
          <w:lang w:val="en-US"/>
        </w:rPr>
        <w:t>Pures</w:t>
      </w:r>
      <w:proofErr w:type="spellEnd"/>
      <w:r w:rsidRPr="00315D0F">
        <w:rPr>
          <w:color w:val="1A1A1A"/>
          <w:sz w:val="20"/>
          <w:szCs w:val="20"/>
          <w:lang w:val="en-US"/>
        </w:rPr>
        <w:t xml:space="preserve"> Appl., 58, 339–368.</w:t>
      </w:r>
    </w:p>
    <w:p w14:paraId="57C369BB" w14:textId="77777777" w:rsidR="004B1719" w:rsidRDefault="00000000">
      <w:pPr>
        <w:spacing w:after="160" w:line="320" w:lineRule="auto"/>
        <w:jc w:val="both"/>
      </w:pPr>
      <w:r w:rsidRPr="00315D0F">
        <w:rPr>
          <w:color w:val="1A1A1A"/>
          <w:sz w:val="20"/>
          <w:szCs w:val="20"/>
          <w:lang w:val="en-US"/>
        </w:rPr>
        <w:t xml:space="preserve">Hala, A. M. (2025). “Conditional Global Regularity of the 3D Navier-Stokes Equations from Regular Finite-Dimensional Attractors.” </w:t>
      </w:r>
      <w:proofErr w:type="spellStart"/>
      <w:r>
        <w:rPr>
          <w:color w:val="1A1A1A"/>
          <w:sz w:val="20"/>
          <w:szCs w:val="20"/>
        </w:rPr>
        <w:t>Preprint</w:t>
      </w:r>
      <w:proofErr w:type="spellEnd"/>
      <w:r>
        <w:rPr>
          <w:color w:val="1A1A1A"/>
          <w:sz w:val="20"/>
          <w:szCs w:val="20"/>
        </w:rPr>
        <w:t xml:space="preserve">, </w:t>
      </w:r>
      <w:proofErr w:type="spellStart"/>
      <w:r>
        <w:rPr>
          <w:color w:val="1A1A1A"/>
          <w:sz w:val="20"/>
          <w:szCs w:val="20"/>
        </w:rPr>
        <w:t>ResearchGate</w:t>
      </w:r>
      <w:proofErr w:type="spellEnd"/>
      <w:r>
        <w:rPr>
          <w:color w:val="1A1A1A"/>
          <w:sz w:val="20"/>
          <w:szCs w:val="20"/>
        </w:rPr>
        <w:t>.</w:t>
      </w:r>
    </w:p>
    <w:sectPr w:rsidR="004B1719">
      <w:footerReference w:type="default" r:id="rId7"/>
      <w:pgSz w:w="11906" w:h="16838"/>
      <w:pgMar w:top="1700" w:right="1440" w:bottom="1440"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995941" w14:textId="77777777" w:rsidR="00D84302" w:rsidRDefault="00D84302">
      <w:r>
        <w:separator/>
      </w:r>
    </w:p>
  </w:endnote>
  <w:endnote w:type="continuationSeparator" w:id="0">
    <w:p w14:paraId="000D5B87" w14:textId="77777777" w:rsidR="00D84302" w:rsidRDefault="00D843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58632C" w14:textId="77777777" w:rsidR="004B1719" w:rsidRDefault="00000000">
    <w:pPr>
      <w:jc w:val="center"/>
    </w:pPr>
    <w:r>
      <w:rPr>
        <w:rFonts w:ascii="Calibri" w:eastAsia="Calibri" w:hAnsi="Calibri" w:cs="Calibri"/>
        <w:color w:val="999999"/>
        <w:sz w:val="18"/>
        <w:szCs w:val="18"/>
      </w:rPr>
      <w:fldChar w:fldCharType="begin"/>
    </w:r>
    <w:r>
      <w:rPr>
        <w:rFonts w:ascii="Calibri" w:eastAsia="Calibri" w:hAnsi="Calibri" w:cs="Calibri"/>
        <w:color w:val="999999"/>
        <w:sz w:val="18"/>
        <w:szCs w:val="18"/>
      </w:rPr>
      <w:instrText>PAGE</w:instrText>
    </w:r>
    <w:r>
      <w:rPr>
        <w:rFonts w:ascii="Calibri" w:eastAsia="Calibri" w:hAnsi="Calibri" w:cs="Calibri"/>
        <w:color w:val="999999"/>
        <w:sz w:val="18"/>
        <w:szCs w:val="18"/>
      </w:rPr>
      <w:fldChar w:fldCharType="separate"/>
    </w:r>
    <w:r w:rsidR="00315D0F">
      <w:rPr>
        <w:rFonts w:ascii="Calibri" w:eastAsia="Calibri" w:hAnsi="Calibri" w:cs="Calibri"/>
        <w:noProof/>
        <w:color w:val="999999"/>
        <w:sz w:val="18"/>
        <w:szCs w:val="18"/>
      </w:rPr>
      <w:t>1</w:t>
    </w:r>
    <w:r>
      <w:rPr>
        <w:rFonts w:ascii="Calibri" w:eastAsia="Calibri" w:hAnsi="Calibri" w:cs="Calibri"/>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6A756A" w14:textId="77777777" w:rsidR="00D84302" w:rsidRDefault="00D84302">
      <w:r>
        <w:separator/>
      </w:r>
    </w:p>
  </w:footnote>
  <w:footnote w:type="continuationSeparator" w:id="0">
    <w:p w14:paraId="2E1DE654" w14:textId="77777777" w:rsidR="00D84302" w:rsidRDefault="00D843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2D17481"/>
    <w:multiLevelType w:val="hybridMultilevel"/>
    <w:tmpl w:val="8D1E2252"/>
    <w:lvl w:ilvl="0" w:tplc="29120E28">
      <w:start w:val="1"/>
      <w:numFmt w:val="bullet"/>
      <w:lvlText w:val="●"/>
      <w:lvlJc w:val="left"/>
      <w:pPr>
        <w:ind w:left="720" w:hanging="360"/>
      </w:pPr>
    </w:lvl>
    <w:lvl w:ilvl="1" w:tplc="89D88D16">
      <w:start w:val="1"/>
      <w:numFmt w:val="bullet"/>
      <w:lvlText w:val="○"/>
      <w:lvlJc w:val="left"/>
      <w:pPr>
        <w:ind w:left="1440" w:hanging="360"/>
      </w:pPr>
    </w:lvl>
    <w:lvl w:ilvl="2" w:tplc="F886D736">
      <w:start w:val="1"/>
      <w:numFmt w:val="bullet"/>
      <w:lvlText w:val="■"/>
      <w:lvlJc w:val="left"/>
      <w:pPr>
        <w:ind w:left="2160" w:hanging="360"/>
      </w:pPr>
    </w:lvl>
    <w:lvl w:ilvl="3" w:tplc="E4CC142C">
      <w:start w:val="1"/>
      <w:numFmt w:val="bullet"/>
      <w:lvlText w:val="●"/>
      <w:lvlJc w:val="left"/>
      <w:pPr>
        <w:ind w:left="2880" w:hanging="360"/>
      </w:pPr>
    </w:lvl>
    <w:lvl w:ilvl="4" w:tplc="314EDA00">
      <w:start w:val="1"/>
      <w:numFmt w:val="bullet"/>
      <w:lvlText w:val="○"/>
      <w:lvlJc w:val="left"/>
      <w:pPr>
        <w:ind w:left="3600" w:hanging="360"/>
      </w:pPr>
    </w:lvl>
    <w:lvl w:ilvl="5" w:tplc="D4E2670E">
      <w:start w:val="1"/>
      <w:numFmt w:val="bullet"/>
      <w:lvlText w:val="■"/>
      <w:lvlJc w:val="left"/>
      <w:pPr>
        <w:ind w:left="4320" w:hanging="360"/>
      </w:pPr>
    </w:lvl>
    <w:lvl w:ilvl="6" w:tplc="E6B8AE6C">
      <w:start w:val="1"/>
      <w:numFmt w:val="bullet"/>
      <w:lvlText w:val="●"/>
      <w:lvlJc w:val="left"/>
      <w:pPr>
        <w:ind w:left="5040" w:hanging="360"/>
      </w:pPr>
    </w:lvl>
    <w:lvl w:ilvl="7" w:tplc="EF762B20">
      <w:start w:val="1"/>
      <w:numFmt w:val="bullet"/>
      <w:lvlText w:val="●"/>
      <w:lvlJc w:val="left"/>
      <w:pPr>
        <w:ind w:left="5760" w:hanging="360"/>
      </w:pPr>
    </w:lvl>
    <w:lvl w:ilvl="8" w:tplc="DAA0B00A">
      <w:start w:val="1"/>
      <w:numFmt w:val="bullet"/>
      <w:lvlText w:val="●"/>
      <w:lvlJc w:val="left"/>
      <w:pPr>
        <w:ind w:left="6480" w:hanging="360"/>
      </w:pPr>
    </w:lvl>
  </w:abstractNum>
  <w:num w:numId="1" w16cid:durableId="5288380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719"/>
    <w:rsid w:val="00315D0F"/>
    <w:rsid w:val="004B1719"/>
    <w:rsid w:val="00BF6BA9"/>
    <w:rsid w:val="00D8430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5649C9DC"/>
  <w15:docId w15:val="{10C019B7-635F-8C4F-835A-623E9F6E2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Palatino Linotype" w:eastAsia="Palatino Linotype" w:hAnsi="Palatino Linotype" w:cs="Palatino Linotype"/>
        <w:sz w:val="22"/>
        <w:szCs w:val="22"/>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rFonts w:ascii="Calibri" w:eastAsia="Calibri" w:hAnsi="Calibri" w:cs="Calibri"/>
      <w:b/>
      <w:bCs/>
      <w:sz w:val="32"/>
      <w:szCs w:val="32"/>
    </w:rPr>
  </w:style>
  <w:style w:type="paragraph" w:styleId="Ttulo2">
    <w:name w:val="heading 2"/>
    <w:uiPriority w:val="9"/>
    <w:unhideWhenUsed/>
    <w:qFormat/>
    <w:pPr>
      <w:spacing w:before="300" w:after="150"/>
      <w:outlineLvl w:val="1"/>
    </w:pPr>
    <w:rPr>
      <w:rFonts w:ascii="Calibri" w:eastAsia="Calibri" w:hAnsi="Calibri" w:cs="Calibri"/>
      <w:b/>
      <w:bCs/>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2730</Words>
  <Characters>15016</Characters>
  <Application>Microsoft Office Word</Application>
  <DocSecurity>0</DocSecurity>
  <Lines>125</Lines>
  <Paragraphs>35</Paragraphs>
  <ScaleCrop>false</ScaleCrop>
  <Company/>
  <LinksUpToDate>false</LinksUpToDate>
  <CharactersWithSpaces>17711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MARIA CARREÑO VICENTE</cp:lastModifiedBy>
  <cp:revision>2</cp:revision>
  <dcterms:created xsi:type="dcterms:W3CDTF">2026-02-21T20:05:00Z</dcterms:created>
  <dcterms:modified xsi:type="dcterms:W3CDTF">2026-02-22T16:41:00Z</dcterms:modified>
</cp:coreProperties>
</file>