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spacing w:after="80"/>
        <w:jc w:val="center"/>
      </w:pPr>
      <w:r>
        <w:rPr>
          <w:rFonts w:ascii="Calibri" w:cs="Calibri" w:eastAsia="Calibri" w:hAnsi="Calibri"/>
          <w:b/>
          <w:bCs/>
          <w:i w:val="false"/>
          <w:iCs w:val="false"/>
          <w:color w:val="1a1a2e"/>
          <w:sz w:val="40"/>
          <w:szCs w:val="40"/>
        </w:rPr>
        <w:t xml:space="preserve">EL PRINCIPIO DE COSTE DE CONCENTRACIÓN</w:t>
      </w:r>
    </w:p>
    <w:p>
      <w:pPr>
        <w:spacing w:after="60"/>
        <w:jc w:val="center"/>
      </w:pPr>
      <w:r>
        <w:rPr>
          <w:rFonts w:ascii="Calibri" w:cs="Calibri" w:eastAsia="Calibri" w:hAnsi="Calibri"/>
          <w:b/>
          <w:bCs/>
          <w:i w:val="false"/>
          <w:iCs w:val="false"/>
          <w:color w:val="1a1a2e"/>
          <w:sz w:val="40"/>
          <w:szCs w:val="40"/>
        </w:rPr>
        <w:t xml:space="preserve">EN SISTEMAS DISIPATIVOS</w:t>
      </w:r>
    </w:p>
    <w:p>
      <w:pPr>
        <w:spacing w:before="50" w:after="50"/>
      </w:pPr>
    </w:p>
    <w:p>
      <w:pPr>
        <w:spacing w:after="200"/>
        <w:jc w:val="center"/>
      </w:pPr>
      <w:r>
        <w:rPr>
          <w:rFonts w:ascii="Calibri" w:cs="Calibri" w:eastAsia="Calibri" w:hAnsi="Calibri"/>
          <w:b w:val="false"/>
          <w:bCs w:val="false"/>
          <w:i w:val="false"/>
          <w:iCs w:val="false"/>
          <w:color w:val="0f3460"/>
          <w:sz w:val="26"/>
          <w:szCs w:val="26"/>
        </w:rPr>
        <w:t xml:space="preserve">Falsación, límites y aplicaciones transversales</w:t>
      </w:r>
    </w:p>
    <w:p>
      <w:pPr>
        <w:spacing w:before="200" w:after="200"/>
        <w:jc w:val="center"/>
      </w:pPr>
      <w:r>
        <w:rPr>
          <w:rFonts w:ascii="Palatino Linotype" w:cs="Palatino Linotype" w:eastAsia="Palatino Linotype" w:hAnsi="Palatino Linotype"/>
          <w:b w:val="false"/>
          <w:bCs w:val="false"/>
          <w:i w:val="false"/>
          <w:iCs w:val="false"/>
          <w:color w:val="999999"/>
          <w:sz w:val="22"/>
          <w:szCs w:val="22"/>
        </w:rPr>
        <w:t xml:space="preserve">———</w:t>
      </w:r>
    </w:p>
    <w:p>
      <w:pPr>
        <w:spacing w:after="60"/>
        <w:jc w:val="center"/>
      </w:pPr>
      <w:r>
        <w:rPr>
          <w:rFonts w:ascii="Palatino Linotype" w:cs="Palatino Linotype" w:eastAsia="Palatino Linotype" w:hAnsi="Palatino Linotype"/>
          <w:b w:val="false"/>
          <w:bCs w:val="false"/>
          <w:i/>
          <w:iCs/>
          <w:color w:val="555555"/>
          <w:sz w:val="20"/>
          <w:szCs w:val="20"/>
        </w:rPr>
        <w:t xml:space="preserve">Basado en evidencia computacional replicada independientemente</w:t>
      </w:r>
    </w:p>
    <w:p>
      <w:pPr>
        <w:spacing w:after="60"/>
        <w:jc w:val="center"/>
      </w:pPr>
      <w:r>
        <w:rPr>
          <w:rFonts w:ascii="Palatino Linotype" w:cs="Palatino Linotype" w:eastAsia="Palatino Linotype" w:hAnsi="Palatino Linotype"/>
          <w:b w:val="false"/>
          <w:bCs w:val="false"/>
          <w:i/>
          <w:iCs/>
          <w:color w:val="555555"/>
          <w:sz w:val="20"/>
          <w:szCs w:val="20"/>
        </w:rPr>
        <w:t xml:space="preserve">por cuatro modelos de IA (Claude, ChatGPT, DeepSeek, Grok)</w:t>
      </w:r>
    </w:p>
    <w:p>
      <w:pPr>
        <w:spacing w:before="200" w:after="200"/>
      </w:pPr>
    </w:p>
    <w:p>
      <w:pPr>
        <w:spacing w:after="40"/>
        <w:jc w:val="center"/>
      </w:pPr>
      <w:r>
        <w:rPr>
          <w:rFonts w:ascii="Calibri" w:cs="Calibri" w:eastAsia="Calibri" w:hAnsi="Calibri"/>
          <w:b w:val="false"/>
          <w:bCs w:val="false"/>
          <w:i w:val="false"/>
          <w:iCs w:val="false"/>
          <w:color w:val="444444"/>
          <w:sz w:val="20"/>
          <w:szCs w:val="20"/>
        </w:rPr>
        <w:t xml:space="preserve">Diego (:)iego) — i-arquitectura.es</w:t>
      </w:r>
    </w:p>
    <w:p>
      <w:pPr>
        <w:spacing w:after="40"/>
        <w:jc w:val="center"/>
      </w:pPr>
      <w:r>
        <w:rPr>
          <w:rFonts w:ascii="Calibri" w:cs="Calibri" w:eastAsia="Calibri" w:hAnsi="Calibri"/>
          <w:b w:val="false"/>
          <w:bCs w:val="false"/>
          <w:i w:val="false"/>
          <w:iCs w:val="false"/>
          <w:color w:val="666666"/>
          <w:sz w:val="18"/>
          <w:szCs w:val="18"/>
        </w:rPr>
        <w:t xml:space="preserve">Con la colaboración de Claude (Anthropic), ChatGPT (OpenAI),</w:t>
      </w:r>
    </w:p>
    <w:p>
      <w:pPr>
        <w:spacing w:after="300"/>
        <w:jc w:val="center"/>
      </w:pPr>
      <w:r>
        <w:rPr>
          <w:rFonts w:ascii="Calibri" w:cs="Calibri" w:eastAsia="Calibri" w:hAnsi="Calibri"/>
          <w:b w:val="false"/>
          <w:bCs w:val="false"/>
          <w:i w:val="false"/>
          <w:iCs w:val="false"/>
          <w:color w:val="666666"/>
          <w:sz w:val="18"/>
          <w:szCs w:val="18"/>
        </w:rPr>
        <w:t xml:space="preserve">DeepSeek y Grok (xAI)</w:t>
      </w:r>
    </w:p>
    <w:p>
      <w:pPr>
        <w:spacing w:after="40"/>
        <w:jc w:val="center"/>
      </w:pPr>
      <w:r>
        <w:rPr>
          <w:rFonts w:ascii="Calibri" w:cs="Calibri" w:eastAsia="Calibri" w:hAnsi="Calibri"/>
          <w:b w:val="false"/>
          <w:bCs w:val="false"/>
          <w:i w:val="false"/>
          <w:iCs w:val="false"/>
          <w:color w:val="444444"/>
          <w:sz w:val="20"/>
          <w:szCs w:val="20"/>
        </w:rPr>
        <w:t xml:space="preserve">Febrero 2026</w:t>
      </w:r>
    </w:p>
    <w:p>
      <w:pPr>
        <w:spacing w:before="100" w:after="100"/>
      </w:pPr>
    </w:p>
    <w:p>
      <w:pPr>
        <w:spacing w:before="200" w:after="100"/>
        <w:ind w:left="720" w:right="720"/>
      </w:pPr>
      <w:r>
        <w:rPr>
          <w:rFonts w:ascii="Palatino Linotype" w:cs="Palatino Linotype" w:eastAsia="Palatino Linotype" w:hAnsi="Palatino Linotype"/>
          <w:b w:val="false"/>
          <w:bCs w:val="false"/>
          <w:i/>
          <w:iCs/>
          <w:color w:val="555555"/>
          <w:sz w:val="24"/>
          <w:szCs w:val="24"/>
        </w:rPr>
        <w:t xml:space="preserve">“</w:t>
      </w:r>
      <w:r>
        <w:rPr>
          <w:rFonts w:ascii="Palatino Linotype" w:cs="Palatino Linotype" w:eastAsia="Palatino Linotype" w:hAnsi="Palatino Linotype"/>
          <w:b w:val="false"/>
          <w:bCs w:val="false"/>
          <w:i/>
          <w:iCs/>
          <w:color w:val="555555"/>
          <w:sz w:val="20"/>
          <w:szCs w:val="20"/>
        </w:rPr>
        <w:t xml:space="preserve">En sistemas disipativos, la redistribución es gratuita —no requiere trabajo externo—. La concentración tiene un precio que crece sin límite.</w:t>
      </w:r>
      <w:r>
        <w:rPr>
          <w:rFonts w:ascii="Palatino Linotype" w:cs="Palatino Linotype" w:eastAsia="Palatino Linotype" w:hAnsi="Palatino Linotype"/>
          <w:b w:val="false"/>
          <w:bCs w:val="false"/>
          <w:i/>
          <w:iCs/>
          <w:color w:val="555555"/>
          <w:sz w:val="24"/>
          <w:szCs w:val="24"/>
        </w:rPr>
        <w:t xml:space="preserve">”</w:t>
      </w:r>
      <w:r>
        <w:rPr>
          <w:rFonts w:ascii="Palatino Linotype" w:cs="Palatino Linotype" w:eastAsia="Palatino Linotype" w:hAnsi="Palatino Linotype"/>
          <w:b w:val="false"/>
          <w:bCs w:val="false"/>
          <w:i w:val="false"/>
          <w:iCs w:val="false"/>
          <w:color w:val="777777"/>
          <w:sz w:val="18"/>
          <w:szCs w:val="18"/>
        </w:rPr>
        <w:t xml:space="preserve">  — Derivado de esta investigación</w:t>
      </w:r>
    </w:p>
    <w:p>
      <w:r>
        <w:br w:type="page"/>
      </w:r>
    </w:p>
    <w:p>
      <w:pPr>
        <w:pStyle w:val="Heading1"/>
        <w:spacing w:before="400" w:after="200"/>
      </w:pPr>
      <w:r>
        <w:rPr>
          <w:rFonts w:ascii="Calibri" w:cs="Calibri" w:eastAsia="Calibri" w:hAnsi="Calibri"/>
          <w:b/>
          <w:bCs/>
          <w:color w:val="1a1a2e"/>
          <w:sz w:val="32"/>
          <w:szCs w:val="32"/>
        </w:rPr>
        <w:t xml:space="preserve">0. Antecedentes</w:t>
      </w:r>
    </w:p>
    <w:p>
      <w:pPr>
        <w:spacing w:after="160" w:line="320"/>
        <w:ind w:firstLine="360"/>
        <w:jc w:val="both"/>
      </w:pPr>
      <w:r>
        <w:rPr>
          <w:rFonts w:ascii="Palatino Linotype" w:cs="Palatino Linotype" w:eastAsia="Palatino Linotype" w:hAnsi="Palatino Linotype"/>
          <w:b w:val="false"/>
          <w:bCs w:val="false"/>
          <w:i w:val="false"/>
          <w:iCs w:val="false"/>
          <w:color w:val="1a1a1a"/>
          <w:sz w:val="22"/>
          <w:szCs w:val="22"/>
        </w:rPr>
        <w:t xml:space="preserve">Este documento es la continuación de un trabajo previo (</w:t>
      </w:r>
      <w:r>
        <w:rPr>
          <w:rFonts w:ascii="Palatino Linotype" w:cs="Palatino Linotype" w:eastAsia="Palatino Linotype" w:hAnsi="Palatino Linotype"/>
          <w:b w:val="false"/>
          <w:bCs w:val="false"/>
          <w:i/>
          <w:iCs/>
          <w:color w:val="1a1a1a"/>
          <w:sz w:val="22"/>
          <w:szCs w:val="22"/>
        </w:rPr>
        <w:t xml:space="preserve">Sobre la regularidad de Navier-Stokes en 3D: Una hipótesis energético-variacional</w:t>
      </w:r>
      <w:r>
        <w:rPr>
          <w:rFonts w:ascii="Palatino Linotype" w:cs="Palatino Linotype" w:eastAsia="Palatino Linotype" w:hAnsi="Palatino Linotype"/>
          <w:b w:val="false"/>
          <w:bCs w:val="false"/>
          <w:i w:val="false"/>
          <w:iCs w:val="false"/>
          <w:color w:val="1a1a1a"/>
          <w:sz w:val="22"/>
          <w:szCs w:val="22"/>
        </w:rPr>
        <w:t xml:space="preserve">, febrero 2026) en el que, a partir de un diálogo entre un arquitecto y una IA, se llegó a una conjetura específica: en las ecuaciones de Navier-Stokes, el coste energético de concentrar vorticidad en una región de escala L diverge cuando L tiende a cero, lo que haría energéticamente imposible el blow-up (singularidad en tiempo finito).</w:t>
      </w:r>
    </w:p>
    <w:p>
      <w:pPr>
        <w:spacing w:after="160" w:line="320"/>
        <w:ind w:firstLine="360"/>
        <w:jc w:val="both"/>
      </w:pPr>
      <w:r>
        <w:rPr>
          <w:rFonts w:ascii="Palatino Linotype" w:cs="Palatino Linotype" w:eastAsia="Palatino Linotype" w:hAnsi="Palatino Linotype"/>
          <w:b w:val="false"/>
          <w:bCs w:val="false"/>
          <w:i w:val="false"/>
          <w:iCs w:val="false"/>
          <w:color w:val="1a1a1a"/>
          <w:sz w:val="22"/>
          <w:szCs w:val="22"/>
        </w:rPr>
        <w:t xml:space="preserve">Para poner a prueba esa conjetura, se diseñó un experimento computacional simplificado (un “toy model” de difusión en redes) y se distribuyó a cuatro modelos de IA independientes con la instrucción de implementarlo, ejecutarlo y reportar resultados. Las cuatro IAs confirmaron la hipótesis central dentro del modelo, con matices y críticas que enriquecen significativamente el análisis.</w:t>
      </w:r>
    </w:p>
    <w:p>
      <w:pPr>
        <w:spacing w:after="160" w:line="320"/>
        <w:ind w:firstLine="360"/>
        <w:jc w:val="both"/>
      </w:pPr>
      <w:r>
        <w:rPr>
          <w:rFonts w:ascii="Palatino Linotype" w:cs="Palatino Linotype" w:eastAsia="Palatino Linotype" w:hAnsi="Palatino Linotype"/>
          <w:b w:val="false"/>
          <w:bCs w:val="false"/>
          <w:i w:val="false"/>
          <w:iCs w:val="false"/>
          <w:color w:val="1a1a1a"/>
          <w:sz w:val="22"/>
          <w:szCs w:val="22"/>
        </w:rPr>
        <w:t xml:space="preserve">En este segundo documento damos un paso diferente: </w:t>
      </w:r>
      <w:r>
        <w:rPr>
          <w:rFonts w:ascii="Palatino Linotype" w:cs="Palatino Linotype" w:eastAsia="Palatino Linotype" w:hAnsi="Palatino Linotype"/>
          <w:b/>
          <w:bCs/>
          <w:i w:val="false"/>
          <w:iCs w:val="false"/>
          <w:color w:val="1a1a1a"/>
          <w:sz w:val="22"/>
          <w:szCs w:val="22"/>
        </w:rPr>
        <w:t xml:space="preserve">asumimos la hipótesis como provisionalmente cierta</w:t>
      </w:r>
      <w:r>
        <w:rPr>
          <w:rFonts w:ascii="Palatino Linotype" w:cs="Palatino Linotype" w:eastAsia="Palatino Linotype" w:hAnsi="Palatino Linotype"/>
          <w:b w:val="false"/>
          <w:bCs w:val="false"/>
          <w:i w:val="false"/>
          <w:iCs w:val="false"/>
          <w:color w:val="1a1a1a"/>
          <w:sz w:val="22"/>
          <w:szCs w:val="22"/>
        </w:rPr>
        <w:t xml:space="preserve"> e intentamos dos cosas. Primero, </w:t>
      </w:r>
      <w:r>
        <w:rPr>
          <w:rFonts w:ascii="Palatino Linotype" w:cs="Palatino Linotype" w:eastAsia="Palatino Linotype" w:hAnsi="Palatino Linotype"/>
          <w:b/>
          <w:bCs/>
          <w:i w:val="false"/>
          <w:iCs w:val="false"/>
          <w:color w:val="1a1a1a"/>
          <w:sz w:val="22"/>
          <w:szCs w:val="22"/>
        </w:rPr>
        <w:t xml:space="preserve">falsarla</w:t>
      </w:r>
      <w:r>
        <w:rPr>
          <w:rFonts w:ascii="Palatino Linotype" w:cs="Palatino Linotype" w:eastAsia="Palatino Linotype" w:hAnsi="Palatino Linotype"/>
          <w:b w:val="false"/>
          <w:bCs w:val="false"/>
          <w:i w:val="false"/>
          <w:iCs w:val="false"/>
          <w:color w:val="1a1a1a"/>
          <w:sz w:val="22"/>
          <w:szCs w:val="22"/>
        </w:rPr>
        <w:t xml:space="preserve">: identificar sistemáticamente las condiciones bajo las cuales falla o se invierte, para delimitar su dominio de validez. Segundo, </w:t>
      </w:r>
      <w:r>
        <w:rPr>
          <w:rFonts w:ascii="Palatino Linotype" w:cs="Palatino Linotype" w:eastAsia="Palatino Linotype" w:hAnsi="Palatino Linotype"/>
          <w:b/>
          <w:bCs/>
          <w:i w:val="false"/>
          <w:iCs w:val="false"/>
          <w:color w:val="1a1a1a"/>
          <w:sz w:val="22"/>
          <w:szCs w:val="22"/>
        </w:rPr>
        <w:t xml:space="preserve">aplicarla</w:t>
      </w:r>
      <w:r>
        <w:rPr>
          <w:rFonts w:ascii="Palatino Linotype" w:cs="Palatino Linotype" w:eastAsia="Palatino Linotype" w:hAnsi="Palatino Linotype"/>
          <w:b w:val="false"/>
          <w:bCs w:val="false"/>
          <w:i w:val="false"/>
          <w:iCs w:val="false"/>
          <w:color w:val="1a1a1a"/>
          <w:sz w:val="22"/>
          <w:szCs w:val="22"/>
        </w:rPr>
        <w:t xml:space="preserve">: explorar qué implicaciones tendría en campos más allá de la mecánica de fluidos si el principio subyacente fuera general.</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Distinción fundamental: </w:t>
      </w:r>
      <w:r>
        <w:rPr>
          <w:rFonts w:ascii="Palatino Linotype" w:cs="Palatino Linotype" w:eastAsia="Palatino Linotype" w:hAnsi="Palatino Linotype"/>
          <w:b w:val="false"/>
          <w:bCs w:val="false"/>
          <w:i w:val="false"/>
          <w:iCs w:val="false"/>
          <w:color w:val="1a1a1a"/>
          <w:sz w:val="22"/>
          <w:szCs w:val="22"/>
        </w:rPr>
        <w:t xml:space="preserve">este documento trata del Principio de Coste de Concentración (PCC) como principio heurístico general de sistemas disipativos, apoyado por simulaciones en un modelo simplificado (difusión lineal en red). La conjetura de que el PCC implica regularidad de Navier-Stokes en 3D es una hipótesis derivada, especulativa, que requeriría (a) demostrar que el PCC sobrevive en presencia de no linealidad y (b) construir formalmente el funcional C(L) mencionado en el documento anterior. El lector debe distinguir en todo momento entre lo que el modelo de juguete respalda y lo que queda como programa de investigación abierto.</w:t>
      </w:r>
    </w:p>
    <w:p>
      <w:r>
        <w:br w:type="page"/>
      </w:r>
    </w:p>
    <w:p>
      <w:pPr>
        <w:pStyle w:val="Heading1"/>
        <w:spacing w:before="400" w:after="200"/>
      </w:pPr>
      <w:r>
        <w:rPr>
          <w:rFonts w:ascii="Calibri" w:cs="Calibri" w:eastAsia="Calibri" w:hAnsi="Calibri"/>
          <w:b/>
          <w:bCs/>
          <w:color w:val="1a1a2e"/>
          <w:sz w:val="32"/>
          <w:szCs w:val="32"/>
        </w:rPr>
        <w:t xml:space="preserve">PARTE I — EL PRINCIPIO</w:t>
      </w:r>
    </w:p>
    <w:p>
      <w:pPr>
        <w:pStyle w:val="Heading2"/>
        <w:spacing w:before="300" w:after="150"/>
      </w:pPr>
      <w:r>
        <w:rPr>
          <w:rFonts w:ascii="Calibri" w:cs="Calibri" w:eastAsia="Calibri" w:hAnsi="Calibri"/>
          <w:b/>
          <w:bCs/>
          <w:color w:val="16213e"/>
          <w:sz w:val="26"/>
          <w:szCs w:val="26"/>
        </w:rPr>
        <w:t xml:space="preserve">1. Enunciado</w:t>
      </w:r>
    </w:p>
    <w:p>
      <w:pPr>
        <w:pBdr>
          <w:left w:val="single" w:color="0f3460" w:sz="6" w:space="10"/>
        </w:pBdr>
        <w:spacing w:before="100" w:after="100"/>
        <w:ind w:left="500" w:right="500"/>
      </w:pPr>
      <w:r>
        <w:rPr>
          <w:rFonts w:ascii="Palatino Linotype" w:cs="Palatino Linotype" w:eastAsia="Palatino Linotype" w:hAnsi="Palatino Linotype"/>
          <w:b/>
          <w:bCs/>
          <w:i/>
          <w:iCs/>
          <w:color w:val="1a1a1a"/>
          <w:sz w:val="22"/>
          <w:szCs w:val="22"/>
        </w:rPr>
        <w:t xml:space="preserve">Principio de Coste de Concentración (PCC). </w:t>
      </w:r>
      <w:r>
        <w:rPr>
          <w:rFonts w:ascii="Palatino Linotype" w:cs="Palatino Linotype" w:eastAsia="Palatino Linotype" w:hAnsi="Palatino Linotype"/>
          <w:b w:val="false"/>
          <w:bCs w:val="false"/>
          <w:i/>
          <w:iCs/>
          <w:color w:val="1a1a1a"/>
          <w:sz w:val="22"/>
          <w:szCs w:val="22"/>
        </w:rPr>
        <w:t xml:space="preserve">En un sistema disipativo con conectividad suficiente, el coste energético de mantener un estado concentrado (energía localizada en pocos nodos o regiones) es estrictamente mayor —y crece sin límite— que el coste de mantener un estado distribuido (energía repartida). La redistribución es el estado de mínimo coste; la concentración requiere inyección externa continua que crece con la viscosidad (tasa de difusión) del sistema.</w:t>
      </w:r>
    </w:p>
    <w:p>
      <w:pPr>
        <w:spacing w:before="50" w:after="50"/>
      </w:pPr>
    </w:p>
    <w:p>
      <w:pPr>
        <w:spacing w:after="160" w:line="320"/>
        <w:jc w:val="both"/>
      </w:pPr>
      <w:r>
        <w:rPr>
          <w:rFonts w:ascii="Palatino Linotype" w:cs="Palatino Linotype" w:eastAsia="Palatino Linotype" w:hAnsi="Palatino Linotype"/>
          <w:b w:val="false"/>
          <w:bCs w:val="false"/>
          <w:i w:val="false"/>
          <w:iCs w:val="false"/>
          <w:color w:val="1a1a1a"/>
          <w:sz w:val="22"/>
          <w:szCs w:val="22"/>
        </w:rPr>
        <w:t xml:space="preserve">El principio tiene tres componentes:</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Componente termodinámico (Penrose): </w:t>
      </w:r>
      <w:r>
        <w:rPr>
          <w:rFonts w:ascii="Palatino Linotype" w:cs="Palatino Linotype" w:eastAsia="Palatino Linotype" w:hAnsi="Palatino Linotype"/>
          <w:b w:val="false"/>
          <w:bCs w:val="false"/>
          <w:i w:val="false"/>
          <w:iCs w:val="false"/>
          <w:color w:val="1a1a1a"/>
          <w:sz w:val="22"/>
          <w:szCs w:val="22"/>
        </w:rPr>
        <w:t xml:space="preserve">el estado distribuido es estadísticamente más probable porque hay incomparablemente más configuraciones microscópicas compatibles con él que con el estado concentrado.</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Componente energético (Leray): </w:t>
      </w:r>
      <w:r>
        <w:rPr>
          <w:rFonts w:ascii="Palatino Linotype" w:cs="Palatino Linotype" w:eastAsia="Palatino Linotype" w:hAnsi="Palatino Linotype"/>
          <w:b w:val="false"/>
          <w:bCs w:val="false"/>
          <w:i w:val="false"/>
          <w:iCs w:val="false"/>
          <w:color w:val="1a1a1a"/>
          <w:sz w:val="22"/>
          <w:szCs w:val="22"/>
        </w:rPr>
        <w:t xml:space="preserve">en sistemas disipativos, la energía total decrece monótonamente. El “presupuesto” disponible para concentrar es finito y se encoge.</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Componente estructural (analogía arquitectónica): </w:t>
      </w:r>
      <w:r>
        <w:rPr>
          <w:rFonts w:ascii="Palatino Linotype" w:cs="Palatino Linotype" w:eastAsia="Palatino Linotype" w:hAnsi="Palatino Linotype"/>
          <w:b w:val="false"/>
          <w:bCs w:val="false"/>
          <w:i w:val="false"/>
          <w:iCs w:val="false"/>
          <w:color w:val="1a1a1a"/>
          <w:sz w:val="22"/>
          <w:szCs w:val="22"/>
        </w:rPr>
        <w:t xml:space="preserve">las estructuras internas del sistema (vórtices en fluidos, tensiones en estructuras, nodos intermedios en redes) son mecanismos de autorregulación que redistribuyen la energía para evitar el colapso, no síntomas del colapso.</w:t>
      </w:r>
    </w:p>
    <w:p>
      <w:pPr>
        <w:pStyle w:val="Heading2"/>
        <w:spacing w:before="300" w:after="150"/>
      </w:pPr>
      <w:r>
        <w:rPr>
          <w:rFonts w:ascii="Calibri" w:cs="Calibri" w:eastAsia="Calibri" w:hAnsi="Calibri"/>
          <w:b/>
          <w:bCs/>
          <w:color w:val="16213e"/>
          <w:sz w:val="26"/>
          <w:szCs w:val="26"/>
        </w:rPr>
        <w:t xml:space="preserve">2. Evidencia computacional: cuatro replicaciones independientes</w:t>
      </w:r>
    </w:p>
    <w:p>
      <w:pPr>
        <w:spacing w:after="160" w:line="320"/>
        <w:jc w:val="both"/>
      </w:pPr>
      <w:r>
        <w:rPr>
          <w:rFonts w:ascii="Palatino Linotype" w:cs="Palatino Linotype" w:eastAsia="Palatino Linotype" w:hAnsi="Palatino Linotype"/>
          <w:b w:val="false"/>
          <w:bCs w:val="false"/>
          <w:i w:val="false"/>
          <w:iCs w:val="false"/>
          <w:color w:val="1a1a1a"/>
          <w:sz w:val="22"/>
          <w:szCs w:val="22"/>
        </w:rPr>
        <w:t xml:space="preserve">El protocolo experimental se distribuyó a cuatro IAs sin que ninguna conociera los resultados de las otras. Cada una implementó el código de forma independiente, con parámetros ligeramente diferentes: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
            <w:shd w:color="e8eef7" w:val="solid"/>
          </w:tcPr>
          <w:p>
            <w:pPr>
              <w:spacing w:before="40" w:after="40"/>
              <w:jc w:val="left"/>
            </w:pPr>
            <w:r>
              <w:rPr>
                <w:rFonts w:ascii="Palatino Linotype" w:cs="Palatino Linotype" w:eastAsia="Palatino Linotype" w:hAnsi="Palatino Linotype"/>
                <w:b/>
                <w:bCs/>
                <w:color w:val="1a1a1a"/>
                <w:sz w:val="18"/>
                <w:szCs w:val="18"/>
              </w:rPr>
              <w:t xml:space="preserve">IA</w:t>
            </w:r>
          </w:p>
        </w:tc>
        <w:tc>
          <w:tcPr>
            <w:tcW w:type="pct" w:w="8%"/>
            <w:shd w:color="e8eef7" w:val="solid"/>
          </w:tcPr>
          <w:p>
            <w:pPr>
              <w:spacing w:before="40" w:after="40"/>
              <w:jc w:val="left"/>
            </w:pPr>
            <w:r>
              <w:rPr>
                <w:rFonts w:ascii="Palatino Linotype" w:cs="Palatino Linotype" w:eastAsia="Palatino Linotype" w:hAnsi="Palatino Linotype"/>
                <w:b/>
                <w:bCs/>
                <w:color w:val="1a1a1a"/>
                <w:sz w:val="18"/>
                <w:szCs w:val="18"/>
              </w:rPr>
              <w:t xml:space="preserve">N</w:t>
            </w:r>
          </w:p>
        </w:tc>
        <w:tc>
          <w:tcPr>
            <w:tcW w:type="pct" w:w="16%"/>
            <w:shd w:color="e8eef7" w:val="solid"/>
          </w:tcPr>
          <w:p>
            <w:pPr>
              <w:spacing w:before="40" w:after="40"/>
              <w:jc w:val="left"/>
            </w:pPr>
            <w:r>
              <w:rPr>
                <w:rFonts w:ascii="Palatino Linotype" w:cs="Palatino Linotype" w:eastAsia="Palatino Linotype" w:hAnsi="Palatino Linotype"/>
                <w:b/>
                <w:bCs/>
                <w:color w:val="1a1a1a"/>
                <w:sz w:val="18"/>
                <w:szCs w:val="18"/>
              </w:rPr>
              <w:t xml:space="preserve">Realizaciones</w:t>
            </w:r>
          </w:p>
        </w:tc>
        <w:tc>
          <w:tcPr>
            <w:tcW w:type="pct" w:w="16%"/>
            <w:shd w:color="e8eef7" w:val="solid"/>
          </w:tcPr>
          <w:p>
            <w:pPr>
              <w:spacing w:before="40" w:after="40"/>
              <w:jc w:val="left"/>
            </w:pPr>
            <w:r>
              <w:rPr>
                <w:rFonts w:ascii="Palatino Linotype" w:cs="Palatino Linotype" w:eastAsia="Palatino Linotype" w:hAnsi="Palatino Linotype"/>
                <w:b/>
                <w:bCs/>
                <w:color w:val="1a1a1a"/>
                <w:sz w:val="18"/>
                <w:szCs w:val="18"/>
              </w:rPr>
              <w:t xml:space="preserve">Ratio (ν=0.01)</w:t>
            </w:r>
          </w:p>
        </w:tc>
        <w:tc>
          <w:tcPr>
            <w:tcW w:type="pct" w:w="16%"/>
            <w:shd w:color="e8eef7" w:val="solid"/>
          </w:tcPr>
          <w:p>
            <w:pPr>
              <w:spacing w:before="40" w:after="40"/>
              <w:jc w:val="left"/>
            </w:pPr>
            <w:r>
              <w:rPr>
                <w:rFonts w:ascii="Palatino Linotype" w:cs="Palatino Linotype" w:eastAsia="Palatino Linotype" w:hAnsi="Palatino Linotype"/>
                <w:b/>
                <w:bCs/>
                <w:color w:val="1a1a1a"/>
                <w:sz w:val="18"/>
                <w:szCs w:val="18"/>
              </w:rPr>
              <w:t xml:space="preserve">Ratio (ν=0.1)</w:t>
            </w:r>
          </w:p>
        </w:tc>
        <w:tc>
          <w:tcPr>
            <w:tcW w:type="pct" w:w="16%"/>
            <w:shd w:color="e8eef7" w:val="solid"/>
          </w:tcPr>
          <w:p>
            <w:pPr>
              <w:spacing w:before="40" w:after="40"/>
              <w:jc w:val="left"/>
            </w:pPr>
            <w:r>
              <w:rPr>
                <w:rFonts w:ascii="Palatino Linotype" w:cs="Palatino Linotype" w:eastAsia="Palatino Linotype" w:hAnsi="Palatino Linotype"/>
                <w:b/>
                <w:bCs/>
                <w:color w:val="1a1a1a"/>
                <w:sz w:val="18"/>
                <w:szCs w:val="18"/>
              </w:rPr>
              <w:t xml:space="preserve">Ratio (ν=0.5)</w:t>
            </w:r>
          </w:p>
        </w:tc>
        <w:tc>
          <w:tcPr>
            <w:tcW w:type="pct" w:w="14%"/>
            <w:shd w:color="e8eef7" w:val="solid"/>
          </w:tcPr>
          <w:p>
            <w:pPr>
              <w:spacing w:before="40" w:after="40"/>
              <w:jc w:val="left"/>
            </w:pPr>
            <w:r>
              <w:rPr>
                <w:rFonts w:ascii="Palatino Linotype" w:cs="Palatino Linotype" w:eastAsia="Palatino Linotype" w:hAnsi="Palatino Linotype"/>
                <w:b/>
                <w:bCs/>
                <w:color w:val="1a1a1a"/>
                <w:sz w:val="18"/>
                <w:szCs w:val="18"/>
              </w:rPr>
              <w:t xml:space="preserve">¿Confirma?</w:t>
            </w:r>
          </w:p>
        </w:tc>
      </w:tr>
      <w:tr>
        <w:tc>
          <w:p>
            <w:pPr>
              <w:spacing w:before="40" w:after="40"/>
              <w:jc w:val="left"/>
            </w:pPr>
            <w:r>
              <w:rPr>
                <w:rFonts w:ascii="Palatino Linotype" w:cs="Palatino Linotype" w:eastAsia="Palatino Linotype" w:hAnsi="Palatino Linotype"/>
                <w:b w:val="false"/>
                <w:bCs w:val="false"/>
                <w:color w:val="1a1a1a"/>
                <w:sz w:val="18"/>
                <w:szCs w:val="18"/>
              </w:rPr>
              <w:t xml:space="preserve">Claude</w:t>
            </w:r>
          </w:p>
        </w:tc>
        <w:tc>
          <w:p>
            <w:pPr>
              <w:spacing w:before="40" w:after="40"/>
              <w:jc w:val="left"/>
            </w:pPr>
            <w:r>
              <w:rPr>
                <w:rFonts w:ascii="Palatino Linotype" w:cs="Palatino Linotype" w:eastAsia="Palatino Linotype" w:hAnsi="Palatino Linotype"/>
                <w:b w:val="false"/>
                <w:bCs w:val="false"/>
                <w:color w:val="1a1a1a"/>
                <w:sz w:val="18"/>
                <w:szCs w:val="18"/>
              </w:rPr>
              <w:t xml:space="preserve">30</w:t>
            </w:r>
          </w:p>
        </w:tc>
        <w:tc>
          <w:p>
            <w:pPr>
              <w:spacing w:before="40" w:after="40"/>
              <w:jc w:val="left"/>
            </w:pPr>
            <w:r>
              <w:rPr>
                <w:rFonts w:ascii="Palatino Linotype" w:cs="Palatino Linotype" w:eastAsia="Palatino Linotype" w:hAnsi="Palatino Linotype"/>
                <w:b w:val="false"/>
                <w:bCs w:val="false"/>
                <w:color w:val="1a1a1a"/>
                <w:sz w:val="18"/>
                <w:szCs w:val="18"/>
              </w:rPr>
              <w:t xml:space="preserve">1</w:t>
            </w:r>
          </w:p>
        </w:tc>
        <w:tc>
          <w:p>
            <w:pPr>
              <w:spacing w:before="40" w:after="40"/>
              <w:jc w:val="left"/>
            </w:pPr>
            <w:r>
              <w:rPr>
                <w:rFonts w:ascii="Palatino Linotype" w:cs="Palatino Linotype" w:eastAsia="Palatino Linotype" w:hAnsi="Palatino Linotype"/>
                <w:b w:val="false"/>
                <w:bCs w:val="false"/>
                <w:color w:val="1a1a1a"/>
                <w:sz w:val="18"/>
                <w:szCs w:val="18"/>
              </w:rPr>
              <w:t xml:space="preserve">~10²</w:t>
            </w:r>
          </w:p>
        </w:tc>
        <w:tc>
          <w:p>
            <w:pPr>
              <w:spacing w:before="40" w:after="40"/>
              <w:jc w:val="left"/>
            </w:pPr>
            <w:r>
              <w:rPr>
                <w:rFonts w:ascii="Palatino Linotype" w:cs="Palatino Linotype" w:eastAsia="Palatino Linotype" w:hAnsi="Palatino Linotype"/>
                <w:b w:val="false"/>
                <w:bCs w:val="false"/>
                <w:color w:val="1a1a1a"/>
                <w:sz w:val="18"/>
                <w:szCs w:val="18"/>
              </w:rPr>
              <w:t xml:space="preserve">~10³</w:t>
            </w:r>
          </w:p>
        </w:tc>
        <w:tc>
          <w:p>
            <w:pPr>
              <w:spacing w:before="40" w:after="40"/>
              <w:jc w:val="left"/>
            </w:pPr>
            <w:r>
              <w:rPr>
                <w:rFonts w:ascii="Palatino Linotype" w:cs="Palatino Linotype" w:eastAsia="Palatino Linotype" w:hAnsi="Palatino Linotype"/>
                <w:b w:val="false"/>
                <w:bCs w:val="false"/>
                <w:color w:val="1a1a1a"/>
                <w:sz w:val="18"/>
                <w:szCs w:val="18"/>
              </w:rPr>
              <w:t xml:space="preserve">~10⁴</w:t>
            </w:r>
          </w:p>
        </w:tc>
        <w:tc>
          <w:p>
            <w:pPr>
              <w:spacing w:before="40" w:after="40"/>
              <w:jc w:val="left"/>
            </w:pPr>
            <w:r>
              <w:rPr>
                <w:rFonts w:ascii="Palatino Linotype" w:cs="Palatino Linotype" w:eastAsia="Palatino Linotype" w:hAnsi="Palatino Linotype"/>
                <w:b w:val="false"/>
                <w:bCs w:val="false"/>
                <w:color w:val="1a1a1a"/>
                <w:sz w:val="18"/>
                <w:szCs w:val="18"/>
              </w:rPr>
              <w:t xml:space="preserve">Sí</w:t>
            </w:r>
          </w:p>
        </w:tc>
      </w:tr>
      <w:tr>
        <w:tc>
          <w:p>
            <w:pPr>
              <w:spacing w:before="40" w:after="40"/>
              <w:jc w:val="left"/>
            </w:pPr>
            <w:r>
              <w:rPr>
                <w:rFonts w:ascii="Palatino Linotype" w:cs="Palatino Linotype" w:eastAsia="Palatino Linotype" w:hAnsi="Palatino Linotype"/>
                <w:b w:val="false"/>
                <w:bCs w:val="false"/>
                <w:color w:val="1a1a1a"/>
                <w:sz w:val="18"/>
                <w:szCs w:val="18"/>
              </w:rPr>
              <w:t xml:space="preserve">ChatGPT</w:t>
            </w:r>
          </w:p>
        </w:tc>
        <w:tc>
          <w:p>
            <w:pPr>
              <w:spacing w:before="40" w:after="40"/>
              <w:jc w:val="left"/>
            </w:pPr>
            <w:r>
              <w:rPr>
                <w:rFonts w:ascii="Palatino Linotype" w:cs="Palatino Linotype" w:eastAsia="Palatino Linotype" w:hAnsi="Palatino Linotype"/>
                <w:b w:val="false"/>
                <w:bCs w:val="false"/>
                <w:color w:val="1a1a1a"/>
                <w:sz w:val="18"/>
                <w:szCs w:val="18"/>
              </w:rPr>
              <w:t xml:space="preserve">70</w:t>
            </w:r>
          </w:p>
        </w:tc>
        <w:tc>
          <w:p>
            <w:pPr>
              <w:spacing w:before="40" w:after="40"/>
              <w:jc w:val="left"/>
            </w:pPr>
            <w:r>
              <w:rPr>
                <w:rFonts w:ascii="Palatino Linotype" w:cs="Palatino Linotype" w:eastAsia="Palatino Linotype" w:hAnsi="Palatino Linotype"/>
                <w:b w:val="false"/>
                <w:bCs w:val="false"/>
                <w:color w:val="1a1a1a"/>
                <w:sz w:val="18"/>
                <w:szCs w:val="18"/>
              </w:rPr>
              <w:t xml:space="preserve">5-8</w:t>
            </w:r>
          </w:p>
        </w:tc>
        <w:tc>
          <w:p>
            <w:pPr>
              <w:spacing w:before="40" w:after="40"/>
              <w:jc w:val="left"/>
            </w:pPr>
            <w:r>
              <w:rPr>
                <w:rFonts w:ascii="Palatino Linotype" w:cs="Palatino Linotype" w:eastAsia="Palatino Linotype" w:hAnsi="Palatino Linotype"/>
                <w:b w:val="false"/>
                <w:bCs w:val="false"/>
                <w:color w:val="1a1a1a"/>
                <w:sz w:val="18"/>
                <w:szCs w:val="18"/>
              </w:rPr>
              <w:t xml:space="preserve">~2×10⁴</w:t>
            </w:r>
          </w:p>
        </w:tc>
        <w:tc>
          <w:p>
            <w:pPr>
              <w:spacing w:before="40" w:after="40"/>
              <w:jc w:val="left"/>
            </w:pPr>
            <w:r>
              <w:rPr>
                <w:rFonts w:ascii="Palatino Linotype" w:cs="Palatino Linotype" w:eastAsia="Palatino Linotype" w:hAnsi="Palatino Linotype"/>
                <w:b w:val="false"/>
                <w:bCs w:val="false"/>
                <w:color w:val="1a1a1a"/>
                <w:sz w:val="18"/>
                <w:szCs w:val="18"/>
              </w:rPr>
              <w:t xml:space="preserve">~10¹³</w:t>
            </w:r>
          </w:p>
        </w:tc>
        <w:tc>
          <w:p>
            <w:pPr>
              <w:spacing w:before="40" w:after="40"/>
              <w:jc w:val="left"/>
            </w:pPr>
            <w:r>
              <w:rPr>
                <w:rFonts w:ascii="Palatino Linotype" w:cs="Palatino Linotype" w:eastAsia="Palatino Linotype" w:hAnsi="Palatino Linotype"/>
                <w:b w:val="false"/>
                <w:bCs w:val="false"/>
                <w:color w:val="1a1a1a"/>
                <w:sz w:val="18"/>
                <w:szCs w:val="18"/>
              </w:rPr>
              <w:t xml:space="preserve">~2×10¹⁴</w:t>
            </w:r>
          </w:p>
        </w:tc>
        <w:tc>
          <w:p>
            <w:pPr>
              <w:spacing w:before="40" w:after="40"/>
              <w:jc w:val="left"/>
            </w:pPr>
            <w:r>
              <w:rPr>
                <w:rFonts w:ascii="Palatino Linotype" w:cs="Palatino Linotype" w:eastAsia="Palatino Linotype" w:hAnsi="Palatino Linotype"/>
                <w:b w:val="false"/>
                <w:bCs w:val="false"/>
                <w:color w:val="1a1a1a"/>
                <w:sz w:val="18"/>
                <w:szCs w:val="18"/>
              </w:rPr>
              <w:t xml:space="preserve">Sí</w:t>
            </w:r>
          </w:p>
        </w:tc>
      </w:tr>
      <w:tr>
        <w:tc>
          <w:p>
            <w:pPr>
              <w:spacing w:before="40" w:after="40"/>
              <w:jc w:val="left"/>
            </w:pPr>
            <w:r>
              <w:rPr>
                <w:rFonts w:ascii="Palatino Linotype" w:cs="Palatino Linotype" w:eastAsia="Palatino Linotype" w:hAnsi="Palatino Linotype"/>
                <w:b w:val="false"/>
                <w:bCs w:val="false"/>
                <w:color w:val="1a1a1a"/>
                <w:sz w:val="18"/>
                <w:szCs w:val="18"/>
              </w:rPr>
              <w:t xml:space="preserve">DeepSeek</w:t>
            </w:r>
          </w:p>
        </w:tc>
        <w:tc>
          <w:p>
            <w:pPr>
              <w:spacing w:before="40" w:after="40"/>
              <w:jc w:val="left"/>
            </w:pPr>
            <w:r>
              <w:rPr>
                <w:rFonts w:ascii="Palatino Linotype" w:cs="Palatino Linotype" w:eastAsia="Palatino Linotype" w:hAnsi="Palatino Linotype"/>
                <w:b w:val="false"/>
                <w:bCs w:val="false"/>
                <w:color w:val="1a1a1a"/>
                <w:sz w:val="18"/>
                <w:szCs w:val="18"/>
              </w:rPr>
              <w:t xml:space="preserve">100</w:t>
            </w:r>
          </w:p>
        </w:tc>
        <w:tc>
          <w:p>
            <w:pPr>
              <w:spacing w:before="40" w:after="40"/>
              <w:jc w:val="left"/>
            </w:pPr>
            <w:r>
              <w:rPr>
                <w:rFonts w:ascii="Palatino Linotype" w:cs="Palatino Linotype" w:eastAsia="Palatino Linotype" w:hAnsi="Palatino Linotype"/>
                <w:b w:val="false"/>
                <w:bCs w:val="false"/>
                <w:color w:val="1a1a1a"/>
                <w:sz w:val="18"/>
                <w:szCs w:val="18"/>
              </w:rPr>
              <w:t xml:space="preserve">5-10</w:t>
            </w:r>
          </w:p>
        </w:tc>
        <w:tc>
          <w:p>
            <w:pPr>
              <w:spacing w:before="40" w:after="40"/>
              <w:jc w:val="left"/>
            </w:pPr>
            <w:r>
              <w:rPr>
                <w:rFonts w:ascii="Palatino Linotype" w:cs="Palatino Linotype" w:eastAsia="Palatino Linotype" w:hAnsi="Palatino Linotype"/>
                <w:b w:val="false"/>
                <w:bCs w:val="false"/>
                <w:color w:val="1a1a1a"/>
                <w:sz w:val="18"/>
                <w:szCs w:val="18"/>
              </w:rPr>
              <w:t xml:space="preserve">Variable*</w:t>
            </w:r>
          </w:p>
        </w:tc>
        <w:tc>
          <w:p>
            <w:pPr>
              <w:spacing w:before="40" w:after="40"/>
              <w:jc w:val="left"/>
            </w:pPr>
            <w:r>
              <w:rPr>
                <w:rFonts w:ascii="Palatino Linotype" w:cs="Palatino Linotype" w:eastAsia="Palatino Linotype" w:hAnsi="Palatino Linotype"/>
                <w:b w:val="false"/>
                <w:bCs w:val="false"/>
                <w:color w:val="1a1a1a"/>
                <w:sz w:val="18"/>
                <w:szCs w:val="18"/>
              </w:rPr>
              <w:t xml:space="preserve">Variable*</w:t>
            </w:r>
          </w:p>
        </w:tc>
        <w:tc>
          <w:p>
            <w:pPr>
              <w:spacing w:before="40" w:after="40"/>
              <w:jc w:val="left"/>
            </w:pPr>
            <w:r>
              <w:rPr>
                <w:rFonts w:ascii="Palatino Linotype" w:cs="Palatino Linotype" w:eastAsia="Palatino Linotype" w:hAnsi="Palatino Linotype"/>
                <w:b w:val="false"/>
                <w:bCs w:val="false"/>
                <w:color w:val="1a1a1a"/>
                <w:sz w:val="18"/>
                <w:szCs w:val="18"/>
              </w:rPr>
              <w:t xml:space="preserve">Variable*</w:t>
            </w:r>
          </w:p>
        </w:tc>
        <w:tc>
          <w:p>
            <w:pPr>
              <w:spacing w:before="40" w:after="40"/>
              <w:jc w:val="left"/>
            </w:pPr>
            <w:r>
              <w:rPr>
                <w:rFonts w:ascii="Palatino Linotype" w:cs="Palatino Linotype" w:eastAsia="Palatino Linotype" w:hAnsi="Palatino Linotype"/>
                <w:b w:val="false"/>
                <w:bCs w:val="false"/>
                <w:color w:val="1a1a1a"/>
                <w:sz w:val="18"/>
                <w:szCs w:val="18"/>
              </w:rPr>
              <w:t xml:space="preserve">Sí (p&gt;0.12)</w:t>
            </w:r>
          </w:p>
        </w:tc>
      </w:tr>
      <w:tr>
        <w:tc>
          <w:p>
            <w:pPr>
              <w:spacing w:before="40" w:after="40"/>
              <w:jc w:val="left"/>
            </w:pPr>
            <w:r>
              <w:rPr>
                <w:rFonts w:ascii="Palatino Linotype" w:cs="Palatino Linotype" w:eastAsia="Palatino Linotype" w:hAnsi="Palatino Linotype"/>
                <w:b w:val="false"/>
                <w:bCs w:val="false"/>
                <w:color w:val="1a1a1a"/>
                <w:sz w:val="18"/>
                <w:szCs w:val="18"/>
              </w:rPr>
              <w:t xml:space="preserve">Grok</w:t>
            </w:r>
          </w:p>
        </w:tc>
        <w:tc>
          <w:p>
            <w:pPr>
              <w:spacing w:before="40" w:after="40"/>
              <w:jc w:val="left"/>
            </w:pPr>
            <w:r>
              <w:rPr>
                <w:rFonts w:ascii="Palatino Linotype" w:cs="Palatino Linotype" w:eastAsia="Palatino Linotype" w:hAnsi="Palatino Linotype"/>
                <w:b w:val="false"/>
                <w:bCs w:val="false"/>
                <w:color w:val="1a1a1a"/>
                <w:sz w:val="18"/>
                <w:szCs w:val="18"/>
              </w:rPr>
              <w:t xml:space="preserve">80</w:t>
            </w:r>
          </w:p>
        </w:tc>
        <w:tc>
          <w:p>
            <w:pPr>
              <w:spacing w:before="40" w:after="40"/>
              <w:jc w:val="left"/>
            </w:pPr>
            <w:r>
              <w:rPr>
                <w:rFonts w:ascii="Palatino Linotype" w:cs="Palatino Linotype" w:eastAsia="Palatino Linotype" w:hAnsi="Palatino Linotype"/>
                <w:b w:val="false"/>
                <w:bCs w:val="false"/>
                <w:color w:val="1a1a1a"/>
                <w:sz w:val="18"/>
                <w:szCs w:val="18"/>
              </w:rPr>
              <w:t xml:space="preserve">3</w:t>
            </w:r>
          </w:p>
        </w:tc>
        <w:tc>
          <w:p>
            <w:pPr>
              <w:spacing w:before="40" w:after="40"/>
              <w:jc w:val="left"/>
            </w:pPr>
            <w:r>
              <w:rPr>
                <w:rFonts w:ascii="Palatino Linotype" w:cs="Palatino Linotype" w:eastAsia="Palatino Linotype" w:hAnsi="Palatino Linotype"/>
                <w:b w:val="false"/>
                <w:bCs w:val="false"/>
                <w:color w:val="1a1a1a"/>
                <w:sz w:val="18"/>
                <w:szCs w:val="18"/>
              </w:rPr>
              <w:t xml:space="preserve">~10²</w:t>
            </w:r>
          </w:p>
        </w:tc>
        <w:tc>
          <w:p>
            <w:pPr>
              <w:spacing w:before="40" w:after="40"/>
              <w:jc w:val="left"/>
            </w:pPr>
            <w:r>
              <w:rPr>
                <w:rFonts w:ascii="Palatino Linotype" w:cs="Palatino Linotype" w:eastAsia="Palatino Linotype" w:hAnsi="Palatino Linotype"/>
                <w:b w:val="false"/>
                <w:bCs w:val="false"/>
                <w:color w:val="1a1a1a"/>
                <w:sz w:val="18"/>
                <w:szCs w:val="18"/>
              </w:rPr>
              <w:t xml:space="preserve">~10⁴</w:t>
            </w:r>
          </w:p>
        </w:tc>
        <w:tc>
          <w:p>
            <w:pPr>
              <w:spacing w:before="40" w:after="40"/>
              <w:jc w:val="left"/>
            </w:pPr>
            <w:r>
              <w:rPr>
                <w:rFonts w:ascii="Palatino Linotype" w:cs="Palatino Linotype" w:eastAsia="Palatino Linotype" w:hAnsi="Palatino Linotype"/>
                <w:b w:val="false"/>
                <w:bCs w:val="false"/>
                <w:color w:val="1a1a1a"/>
                <w:sz w:val="18"/>
                <w:szCs w:val="18"/>
              </w:rPr>
              <w:t xml:space="preserve">~10⁶</w:t>
            </w:r>
          </w:p>
        </w:tc>
        <w:tc>
          <w:p>
            <w:pPr>
              <w:spacing w:before="40" w:after="40"/>
              <w:jc w:val="left"/>
            </w:pPr>
            <w:r>
              <w:rPr>
                <w:rFonts w:ascii="Palatino Linotype" w:cs="Palatino Linotype" w:eastAsia="Palatino Linotype" w:hAnsi="Palatino Linotype"/>
                <w:b w:val="false"/>
                <w:bCs w:val="false"/>
                <w:color w:val="1a1a1a"/>
                <w:sz w:val="18"/>
                <w:szCs w:val="18"/>
              </w:rPr>
              <w:t xml:space="preserve">Sí (ν&gt;0.01)</w:t>
            </w:r>
          </w:p>
        </w:tc>
      </w:tr>
    </w:tbl>
    <w:p>
      <w:pPr>
        <w:spacing w:before="50" w:after="50"/>
      </w:pPr>
    </w:p>
    <w:p>
      <w:pPr>
        <w:spacing w:after="160" w:line="320"/>
        <w:jc w:val="both"/>
      </w:pPr>
      <w:r>
        <w:rPr>
          <w:rFonts w:ascii="Palatino Linotype" w:cs="Palatino Linotype" w:eastAsia="Palatino Linotype" w:hAnsi="Palatino Linotype"/>
          <w:b w:val="false"/>
          <w:bCs w:val="false"/>
          <w:i/>
          <w:iCs/>
          <w:color w:val="555555"/>
          <w:sz w:val="18"/>
          <w:szCs w:val="18"/>
        </w:rPr>
        <w:t xml:space="preserve">(*) DeepSeek varió la conectividad p además de ν. Para p = 0.15 (protocolo estándar), sus ratios oscilan entre ~10² (ν bajo) y ~10⁴ (ν alto). Para p &lt; 0.10, el ratio puede caer por debajo de 1.</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Nota metodológica importante: </w:t>
      </w:r>
      <w:r>
        <w:rPr>
          <w:rFonts w:ascii="Palatino Linotype" w:cs="Palatino Linotype" w:eastAsia="Palatino Linotype" w:hAnsi="Palatino Linotype"/>
          <w:b w:val="false"/>
          <w:bCs w:val="false"/>
          <w:i w:val="false"/>
          <w:iCs w:val="false"/>
          <w:color w:val="1a1a1a"/>
          <w:sz w:val="22"/>
          <w:szCs w:val="22"/>
        </w:rPr>
        <w:t xml:space="preserve">las diferencias en órdenes de magnitud entre IAs (10² vs. 10¹³) se deben a definiciones distintas de coste_B: desviación estándar vs. norma L1, ventana de promediado de 50 vs. 100 pasos, etc. Cuando ChatGPT reformuló usando métricas energéticas (trabajo de control vs. disipación real), los ratios bajan a ~10³–10⁵, que es el rango más fiable. Los valores extremos (10¹³) son artefactos de un coste_B que tiende a cero “por construcción”. Lo robusto no son los números absolutos, sino dos hechos cualitativos: (1) el ratio es siempre &gt;&gt; 1 en el régimen de interés, y (2) crece monótonamente con ν.</w:t>
      </w:r>
    </w:p>
    <w:p>
      <w:r>
        <w:br w:type="page"/>
      </w:r>
    </w:p>
    <w:p>
      <w:pPr>
        <w:pStyle w:val="Heading1"/>
        <w:spacing w:before="400" w:after="200"/>
      </w:pPr>
      <w:r>
        <w:rPr>
          <w:rFonts w:ascii="Calibri" w:cs="Calibri" w:eastAsia="Calibri" w:hAnsi="Calibri"/>
          <w:b/>
          <w:bCs/>
          <w:color w:val="1a1a2e"/>
          <w:sz w:val="32"/>
          <w:szCs w:val="32"/>
        </w:rPr>
        <w:t xml:space="preserve">PARTE II — FALSACIÓN</w:t>
      </w:r>
    </w:p>
    <w:p>
      <w:pPr>
        <w:spacing w:after="160" w:line="320"/>
        <w:jc w:val="both"/>
      </w:pPr>
      <w:r>
        <w:rPr>
          <w:rFonts w:ascii="Palatino Linotype" w:cs="Palatino Linotype" w:eastAsia="Palatino Linotype" w:hAnsi="Palatino Linotype"/>
          <w:b w:val="false"/>
          <w:bCs w:val="false"/>
          <w:i w:val="false"/>
          <w:iCs w:val="false"/>
          <w:color w:val="1a1a1a"/>
          <w:sz w:val="22"/>
          <w:szCs w:val="22"/>
        </w:rPr>
        <w:t xml:space="preserve">Si la hipótesis es científicamente válida, debe ser falsable. Hemos identificado, con ayuda de las cuatro IAs, las condiciones bajo las cuales el principio falla o se debilita. Estas condiciones delimitan su dominio de validez.</w:t>
      </w:r>
    </w:p>
    <w:p>
      <w:pPr>
        <w:pStyle w:val="Heading2"/>
        <w:spacing w:before="300" w:after="150"/>
      </w:pPr>
      <w:r>
        <w:rPr>
          <w:rFonts w:ascii="Calibri" w:cs="Calibri" w:eastAsia="Calibri" w:hAnsi="Calibri"/>
          <w:b/>
          <w:bCs/>
          <w:color w:val="16213e"/>
          <w:sz w:val="26"/>
          <w:szCs w:val="26"/>
        </w:rPr>
        <w:t xml:space="preserve">3. Condición de fallo 1: Conectividad insuficiente</w:t>
      </w:r>
    </w:p>
    <w:p>
      <w:pPr>
        <w:spacing w:after="160" w:line="320"/>
        <w:jc w:val="both"/>
      </w:pPr>
      <w:r>
        <w:rPr>
          <w:rFonts w:ascii="Palatino Linotype" w:cs="Palatino Linotype" w:eastAsia="Palatino Linotype" w:hAnsi="Palatino Linotype"/>
          <w:b/>
          <w:bCs/>
          <w:i w:val="false"/>
          <w:iCs w:val="false"/>
          <w:color w:val="1a1a1a"/>
          <w:sz w:val="22"/>
          <w:szCs w:val="22"/>
        </w:rPr>
        <w:t xml:space="preserve">Descubierta por: </w:t>
      </w:r>
      <w:r>
        <w:rPr>
          <w:rFonts w:ascii="Palatino Linotype" w:cs="Palatino Linotype" w:eastAsia="Palatino Linotype" w:hAnsi="Palatino Linotype"/>
          <w:b w:val="false"/>
          <w:bCs w:val="false"/>
          <w:i w:val="false"/>
          <w:iCs w:val="false"/>
          <w:color w:val="1a1a1a"/>
          <w:sz w:val="22"/>
          <w:szCs w:val="22"/>
        </w:rPr>
        <w:t xml:space="preserve">DeepSeek (análisis sistemático variando p)</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Hallazgo: </w:t>
      </w:r>
      <w:r>
        <w:rPr>
          <w:rFonts w:ascii="Palatino Linotype" w:cs="Palatino Linotype" w:eastAsia="Palatino Linotype" w:hAnsi="Palatino Linotype"/>
          <w:b w:val="false"/>
          <w:bCs w:val="false"/>
          <w:i w:val="false"/>
          <w:iCs w:val="false"/>
          <w:color w:val="1a1a1a"/>
          <w:sz w:val="22"/>
          <w:szCs w:val="22"/>
        </w:rPr>
        <w:t xml:space="preserve">para redes con probabilidad de conexión p &lt; 0.10 (aproximadamente), existe una ventana de viscosidad donde el ratio coste_A/coste_B cae por debajo de 1. Es decir, </w:t>
      </w:r>
      <w:r>
        <w:rPr>
          <w:rFonts w:ascii="Palatino Linotype" w:cs="Palatino Linotype" w:eastAsia="Palatino Linotype" w:hAnsi="Palatino Linotype"/>
          <w:b/>
          <w:bCs/>
          <w:i w:val="false"/>
          <w:iCs w:val="false"/>
          <w:color w:val="1a1a1a"/>
          <w:sz w:val="22"/>
          <w:szCs w:val="22"/>
        </w:rPr>
        <w:t xml:space="preserve">concentrar es más barato que distribuir</w:t>
      </w:r>
      <w:r>
        <w:rPr>
          <w:rFonts w:ascii="Palatino Linotype" w:cs="Palatino Linotype" w:eastAsia="Palatino Linotype" w:hAnsi="Palatino Linotype"/>
          <w:b w:val="false"/>
          <w:bCs w:val="false"/>
          <w:i w:val="false"/>
          <w:iCs w:val="false"/>
          <w:color w:val="1a1a1a"/>
          <w:sz w:val="22"/>
          <w:szCs w:val="22"/>
        </w:rPr>
        <w:t xml:space="preserve">. En el caso extremo (p = 0.05), el ratio mínimo alcanza ≈0.6 en ν ≈ 0.04.</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Interpretación física: </w:t>
      </w:r>
      <w:r>
        <w:rPr>
          <w:rFonts w:ascii="Palatino Linotype" w:cs="Palatino Linotype" w:eastAsia="Palatino Linotype" w:hAnsi="Palatino Linotype"/>
          <w:b w:val="false"/>
          <w:bCs w:val="false"/>
          <w:i w:val="false"/>
          <w:iCs w:val="false"/>
          <w:color w:val="1a1a1a"/>
          <w:sz w:val="22"/>
          <w:szCs w:val="22"/>
        </w:rPr>
        <w:t xml:space="preserve">cuando la red tiene pocas conexiones, la energía no tiene caminos suficientes para redistribuirse. Es como un edificio con pocas vigas: las cargas no pueden encontrar rutas alternativas y se quedan donde están. En ese régimen, la concentración es “barata” porque la difusión es ineficaz —la energía no tiene por dónde escapar.</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Conectividad crítica (resultado reportado por DeepSeek, pendiente de replicación): </w:t>
      </w:r>
      <w:r>
        <w:rPr>
          <w:rFonts w:ascii="Palatino Linotype" w:cs="Palatino Linotype" w:eastAsia="Palatino Linotype" w:hAnsi="Palatino Linotype"/>
          <w:b w:val="false"/>
          <w:bCs w:val="false"/>
          <w:i w:val="false"/>
          <w:iCs w:val="false"/>
          <w:color w:val="1a1a1a"/>
          <w:sz w:val="22"/>
          <w:szCs w:val="22"/>
        </w:rPr>
        <w:t xml:space="preserve">p ≈ 0.12 para N = 100. Por encima de este valor, la hipótesis se cumple en todo el rango de ν. Por debajo, existe una ventana de fallo. Queda abierto si este umbral depende del tamaño de la red (N) o del grado medio de conexión.</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Relevancia para fluidos reales: </w:t>
      </w:r>
      <w:r>
        <w:rPr>
          <w:rFonts w:ascii="Palatino Linotype" w:cs="Palatino Linotype" w:eastAsia="Palatino Linotype" w:hAnsi="Palatino Linotype"/>
          <w:b w:val="false"/>
          <w:bCs w:val="false"/>
          <w:i w:val="false"/>
          <w:iCs w:val="false"/>
          <w:color w:val="1a1a1a"/>
          <w:sz w:val="22"/>
          <w:szCs w:val="22"/>
        </w:rPr>
        <w:t xml:space="preserve">un fluido es un medio continuo donde cada punto interacciona con todos sus vecinos en todas las direcciones. La conectividad es máxima. Este fallo no se aplica a Navier-Stokes, pero sí es crítico para las aplicaciones en redes sociales, económicas o biológicas con baja densidad de conexiones.</w:t>
      </w:r>
    </w:p>
    <w:p>
      <w:pPr>
        <w:pStyle w:val="Heading2"/>
        <w:spacing w:before="300" w:after="150"/>
      </w:pPr>
      <w:r>
        <w:rPr>
          <w:rFonts w:ascii="Calibri" w:cs="Calibri" w:eastAsia="Calibri" w:hAnsi="Calibri"/>
          <w:b/>
          <w:bCs/>
          <w:color w:val="16213e"/>
          <w:sz w:val="26"/>
          <w:szCs w:val="26"/>
        </w:rPr>
        <w:t xml:space="preserve">4. Condición de fallo 2: Viscosidad casi nula</w:t>
      </w:r>
    </w:p>
    <w:p>
      <w:pPr>
        <w:spacing w:after="160" w:line="320"/>
        <w:jc w:val="both"/>
      </w:pPr>
      <w:r>
        <w:rPr>
          <w:rFonts w:ascii="Palatino Linotype" w:cs="Palatino Linotype" w:eastAsia="Palatino Linotype" w:hAnsi="Palatino Linotype"/>
          <w:b/>
          <w:bCs/>
          <w:i w:val="false"/>
          <w:iCs w:val="false"/>
          <w:color w:val="1a1a1a"/>
          <w:sz w:val="22"/>
          <w:szCs w:val="22"/>
        </w:rPr>
        <w:t xml:space="preserve">Descubierta por: </w:t>
      </w:r>
      <w:r>
        <w:rPr>
          <w:rFonts w:ascii="Palatino Linotype" w:cs="Palatino Linotype" w:eastAsia="Palatino Linotype" w:hAnsi="Palatino Linotype"/>
          <w:b w:val="false"/>
          <w:bCs w:val="false"/>
          <w:i w:val="false"/>
          <w:iCs w:val="false"/>
          <w:color w:val="1a1a1a"/>
          <w:sz w:val="22"/>
          <w:szCs w:val="22"/>
        </w:rPr>
        <w:t xml:space="preserve">Grok y ChatGPT (análisis de límites extremos)</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Hallazgo: </w:t>
      </w:r>
      <w:r>
        <w:rPr>
          <w:rFonts w:ascii="Palatino Linotype" w:cs="Palatino Linotype" w:eastAsia="Palatino Linotype" w:hAnsi="Palatino Linotype"/>
          <w:b w:val="false"/>
          <w:bCs w:val="false"/>
          <w:i w:val="false"/>
          <w:iCs w:val="false"/>
          <w:color w:val="1a1a1a"/>
          <w:sz w:val="22"/>
          <w:szCs w:val="22"/>
        </w:rPr>
        <w:t xml:space="preserve">para ν &lt; 0.005–0.01, el sistema está “congelado”. La difusión es tan lenta que la energía apenas se mueve. En Modo A, mantener la concentración cuesta casi nada porque el sistema no “pelea” contra la inyección. En Modo B, la desviación residual es prácticamente nula. El ratio se vuelve indeterminado o numéricamente inestable.</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Interpretación física: </w:t>
      </w:r>
      <w:r>
        <w:rPr>
          <w:rFonts w:ascii="Palatino Linotype" w:cs="Palatino Linotype" w:eastAsia="Palatino Linotype" w:hAnsi="Palatino Linotype"/>
          <w:b w:val="false"/>
          <w:bCs w:val="false"/>
          <w:i w:val="false"/>
          <w:iCs w:val="false"/>
          <w:color w:val="1a1a1a"/>
          <w:sz w:val="22"/>
          <w:szCs w:val="22"/>
        </w:rPr>
        <w:t xml:space="preserve">en el modelo, ν pequeño significa difusión lenta: la energía apenas se transfiere entre nodos. Es un sistema “congelado”, no por alta viscosidad sino por ausencia de dinámica difusiva. (Nota: en fluidos reales, ν pequeño corresponde a baja viscosidad y alto número de Reynolds —régimen turbulento—, que es donde el PCC es más fuerte. La analogía directa sería un medio sin interacciones, como partículas aisladas o un gas ultra-ralo.)</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Relevancia para NS: </w:t>
      </w:r>
      <w:r>
        <w:rPr>
          <w:rFonts w:ascii="Palatino Linotype" w:cs="Palatino Linotype" w:eastAsia="Palatino Linotype" w:hAnsi="Palatino Linotype"/>
          <w:b w:val="false"/>
          <w:bCs w:val="false"/>
          <w:i w:val="false"/>
          <w:iCs w:val="false"/>
          <w:color w:val="1a1a1a"/>
          <w:sz w:val="22"/>
          <w:szCs w:val="22"/>
        </w:rPr>
        <w:t xml:space="preserve">el problema del milenio asume ν &gt; 0. En nuestro modelo, ν es la tasa de difusión (análogo a viscosidad); el fallo ocurre cuando esta tasa tiende a cero, es decir, cuando el sistema pierde su mecanismo de redistribución. En un fluido real con ν &gt; 0, este régimen no se alcanza.</w:t>
      </w:r>
    </w:p>
    <w:p>
      <w:pPr>
        <w:pStyle w:val="Heading2"/>
        <w:spacing w:before="300" w:after="150"/>
      </w:pPr>
      <w:r>
        <w:rPr>
          <w:rFonts w:ascii="Calibri" w:cs="Calibri" w:eastAsia="Calibri" w:hAnsi="Calibri"/>
          <w:b/>
          <w:bCs/>
          <w:color w:val="16213e"/>
          <w:sz w:val="26"/>
          <w:szCs w:val="26"/>
        </w:rPr>
        <w:t xml:space="preserve">5. Condición de fallo 3: Ausencia de no linealidad</w:t>
      </w:r>
    </w:p>
    <w:p>
      <w:pPr>
        <w:spacing w:after="160" w:line="320"/>
        <w:jc w:val="both"/>
      </w:pPr>
      <w:r>
        <w:rPr>
          <w:rFonts w:ascii="Palatino Linotype" w:cs="Palatino Linotype" w:eastAsia="Palatino Linotype" w:hAnsi="Palatino Linotype"/>
          <w:b/>
          <w:bCs/>
          <w:i w:val="false"/>
          <w:iCs w:val="false"/>
          <w:color w:val="1a1a1a"/>
          <w:sz w:val="22"/>
          <w:szCs w:val="22"/>
        </w:rPr>
        <w:t xml:space="preserve">Identificada por: </w:t>
      </w:r>
      <w:r>
        <w:rPr>
          <w:rFonts w:ascii="Palatino Linotype" w:cs="Palatino Linotype" w:eastAsia="Palatino Linotype" w:hAnsi="Palatino Linotype"/>
          <w:b w:val="false"/>
          <w:bCs w:val="false"/>
          <w:i w:val="false"/>
          <w:iCs w:val="false"/>
          <w:color w:val="1a1a1a"/>
          <w:sz w:val="22"/>
          <w:szCs w:val="22"/>
        </w:rPr>
        <w:t xml:space="preserve">ChatGPT (crítica metodológica)</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Argumento: </w:t>
      </w:r>
      <w:r>
        <w:rPr>
          <w:rFonts w:ascii="Palatino Linotype" w:cs="Palatino Linotype" w:eastAsia="Palatino Linotype" w:hAnsi="Palatino Linotype"/>
          <w:b w:val="false"/>
          <w:bCs w:val="false"/>
          <w:i w:val="false"/>
          <w:iCs w:val="false"/>
          <w:color w:val="1a1a1a"/>
          <w:sz w:val="22"/>
          <w:szCs w:val="22"/>
        </w:rPr>
        <w:t xml:space="preserve">el modelo de difusión en red es lineal. En un sistema lineal, el blow-up es estructuralmente imposible: la difusión siempre suaviza. Navier-Stokes tiene un término no lineal —la advección (u · ∇)u— que puede transferir energía a escalas pequeñas (cascada) y potencialmente concentrar vorticidad. Nuestro modelo no captura ese mecanismo.</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Contraargumento parcial: </w:t>
      </w:r>
      <w:r>
        <w:rPr>
          <w:rFonts w:ascii="Palatino Linotype" w:cs="Palatino Linotype" w:eastAsia="Palatino Linotype" w:hAnsi="Palatino Linotype"/>
          <w:b w:val="false"/>
          <w:bCs w:val="false"/>
          <w:i w:val="false"/>
          <w:iCs w:val="false"/>
          <w:color w:val="1a1a1a"/>
          <w:sz w:val="22"/>
          <w:szCs w:val="22"/>
        </w:rPr>
        <w:t xml:space="preserve">si el principio se cumple incluso sin cascada (en el modelo lineal), es razonable hipotetizar que la cascada lo reforzaría, no lo debilitaría —porque la cascada es precisamente un mecanismo de redistribución de energía hacia escalas pequeñas, donde la viscosidad la disipa. Sin embargo, esto no está demostrado y es la crítica más seria al alcance de nuestro experimento.</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Línea de trabajo sugerida por ChatGPT: </w:t>
      </w:r>
      <w:r>
        <w:rPr>
          <w:rFonts w:ascii="Palatino Linotype" w:cs="Palatino Linotype" w:eastAsia="Palatino Linotype" w:hAnsi="Palatino Linotype"/>
          <w:b w:val="false"/>
          <w:bCs w:val="false"/>
          <w:i w:val="false"/>
          <w:iCs w:val="false"/>
          <w:color w:val="1a1a1a"/>
          <w:sz w:val="22"/>
          <w:szCs w:val="22"/>
        </w:rPr>
        <w:t xml:space="preserve">implementar un shell model (GOY o Sabra) que incluya un término no lineal conservativo (cascada de energía entre escalas) además del término disipativo. Medir si el principio sobrevive en presencia de no linealidad. Este sería el test crítico.</w:t>
      </w:r>
    </w:p>
    <w:p>
      <w:pPr>
        <w:pStyle w:val="Heading2"/>
        <w:spacing w:before="300" w:after="150"/>
      </w:pPr>
      <w:r>
        <w:rPr>
          <w:rFonts w:ascii="Calibri" w:cs="Calibri" w:eastAsia="Calibri" w:hAnsi="Calibri"/>
          <w:b/>
          <w:bCs/>
          <w:color w:val="16213e"/>
          <w:sz w:val="26"/>
          <w:szCs w:val="26"/>
        </w:rPr>
        <w:t xml:space="preserve">6. Condición de fallo 4: Concentración local vs. global</w:t>
      </w:r>
    </w:p>
    <w:p>
      <w:pPr>
        <w:spacing w:after="160" w:line="320"/>
        <w:jc w:val="both"/>
      </w:pPr>
      <w:r>
        <w:rPr>
          <w:rFonts w:ascii="Palatino Linotype" w:cs="Palatino Linotype" w:eastAsia="Palatino Linotype" w:hAnsi="Palatino Linotype"/>
          <w:b/>
          <w:bCs/>
          <w:i w:val="false"/>
          <w:iCs w:val="false"/>
          <w:color w:val="1a1a1a"/>
          <w:sz w:val="22"/>
          <w:szCs w:val="22"/>
        </w:rPr>
        <w:t xml:space="preserve">Identificada por: </w:t>
      </w:r>
      <w:r>
        <w:rPr>
          <w:rFonts w:ascii="Palatino Linotype" w:cs="Palatino Linotype" w:eastAsia="Palatino Linotype" w:hAnsi="Palatino Linotype"/>
          <w:b w:val="false"/>
          <w:bCs w:val="false"/>
          <w:i w:val="false"/>
          <w:iCs w:val="false"/>
          <w:color w:val="1a1a1a"/>
          <w:sz w:val="22"/>
          <w:szCs w:val="22"/>
        </w:rPr>
        <w:t xml:space="preserve">Claude (análisis teórico) y ChatGPT (crítica formal)</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Argumento: </w:t>
      </w:r>
      <w:r>
        <w:rPr>
          <w:rFonts w:ascii="Palatino Linotype" w:cs="Palatino Linotype" w:eastAsia="Palatino Linotype" w:hAnsi="Palatino Linotype"/>
          <w:b w:val="false"/>
          <w:bCs w:val="false"/>
          <w:i w:val="false"/>
          <w:iCs w:val="false"/>
          <w:color w:val="1a1a1a"/>
          <w:sz w:val="22"/>
          <w:szCs w:val="22"/>
        </w:rPr>
        <w:t xml:space="preserve">la energía total del sistema decrece (Leray, 1934), pero eso no impide la concentración local. Un río pierde energía global mientras forma un remolino intenso en un punto. En gravitación (Penrose), la concentración de masa </w:t>
      </w:r>
      <w:r>
        <w:rPr>
          <w:rFonts w:ascii="Palatino Linotype" w:cs="Palatino Linotype" w:eastAsia="Palatino Linotype" w:hAnsi="Palatino Linotype"/>
          <w:b w:val="false"/>
          <w:bCs w:val="false"/>
          <w:i/>
          <w:iCs/>
          <w:color w:val="1a1a1a"/>
          <w:sz w:val="22"/>
          <w:szCs w:val="22"/>
        </w:rPr>
        <w:t xml:space="preserve">aumenta</w:t>
      </w:r>
      <w:r>
        <w:rPr>
          <w:rFonts w:ascii="Palatino Linotype" w:cs="Palatino Linotype" w:eastAsia="Palatino Linotype" w:hAnsi="Palatino Linotype"/>
          <w:b w:val="false"/>
          <w:bCs w:val="false"/>
          <w:i w:val="false"/>
          <w:iCs w:val="false"/>
          <w:color w:val="1a1a1a"/>
          <w:sz w:val="22"/>
          <w:szCs w:val="22"/>
        </w:rPr>
        <w:t xml:space="preserve"> la entropía (agujero negro = máxima entropía). Si la energía cinética de un fluido se comportara como la gravedad y no como el calor, la concentración podría ser termodinámicamente favorable.</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Estado de la cuestión: </w:t>
      </w:r>
      <w:r>
        <w:rPr>
          <w:rFonts w:ascii="Palatino Linotype" w:cs="Palatino Linotype" w:eastAsia="Palatino Linotype" w:hAnsi="Palatino Linotype"/>
          <w:b w:val="false"/>
          <w:bCs w:val="false"/>
          <w:i w:val="false"/>
          <w:iCs w:val="false"/>
          <w:color w:val="1a1a1a"/>
          <w:sz w:val="22"/>
          <w:szCs w:val="22"/>
        </w:rPr>
        <w:t xml:space="preserve">todo indica que la energía cinética de fluidos se comporta como energía térmica (se dispersa), no como gravedad (se concentra). Pero “todo indica” no es una demostración. Esta es la frontera abierta.</w:t>
      </w:r>
    </w:p>
    <w:p>
      <w:pPr>
        <w:pStyle w:val="Heading2"/>
        <w:spacing w:before="300" w:after="150"/>
      </w:pPr>
      <w:r>
        <w:rPr>
          <w:rFonts w:ascii="Calibri" w:cs="Calibri" w:eastAsia="Calibri" w:hAnsi="Calibri"/>
          <w:b/>
          <w:bCs/>
          <w:color w:val="16213e"/>
          <w:sz w:val="26"/>
          <w:szCs w:val="26"/>
        </w:rPr>
        <w:t xml:space="preserve">7. Resumen de condiciones de fallo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color="fce4e4" w:val="solid"/>
          </w:tcPr>
          <w:p>
            <w:pPr>
              <w:spacing w:before="40" w:after="40"/>
              <w:jc w:val="left"/>
            </w:pPr>
            <w:r>
              <w:rPr>
                <w:rFonts w:ascii="Palatino Linotype" w:cs="Palatino Linotype" w:eastAsia="Palatino Linotype" w:hAnsi="Palatino Linotype"/>
                <w:b/>
                <w:bCs/>
                <w:color w:val="1a1a1a"/>
                <w:sz w:val="18"/>
                <w:szCs w:val="18"/>
              </w:rPr>
              <w:t xml:space="preserve">Condición de fallo</w:t>
            </w:r>
          </w:p>
        </w:tc>
        <w:tc>
          <w:tcPr>
            <w:tcW w:type="pct" w:w="20%"/>
            <w:shd w:color="fce4e4" w:val="solid"/>
          </w:tcPr>
          <w:p>
            <w:pPr>
              <w:spacing w:before="40" w:after="40"/>
              <w:jc w:val="left"/>
            </w:pPr>
            <w:r>
              <w:rPr>
                <w:rFonts w:ascii="Palatino Linotype" w:cs="Palatino Linotype" w:eastAsia="Palatino Linotype" w:hAnsi="Palatino Linotype"/>
                <w:b/>
                <w:bCs/>
                <w:color w:val="1a1a1a"/>
                <w:sz w:val="18"/>
                <w:szCs w:val="18"/>
              </w:rPr>
              <w:t xml:space="preserve">Parámetro crítico</w:t>
            </w:r>
          </w:p>
        </w:tc>
        <w:tc>
          <w:tcPr>
            <w:tcW w:type="pct" w:w="20%"/>
            <w:shd w:color="fce4e4" w:val="solid"/>
          </w:tcPr>
          <w:p>
            <w:pPr>
              <w:spacing w:before="40" w:after="40"/>
              <w:jc w:val="left"/>
            </w:pPr>
            <w:r>
              <w:rPr>
                <w:rFonts w:ascii="Palatino Linotype" w:cs="Palatino Linotype" w:eastAsia="Palatino Linotype" w:hAnsi="Palatino Linotype"/>
                <w:b/>
                <w:bCs/>
                <w:color w:val="1a1a1a"/>
                <w:sz w:val="18"/>
                <w:szCs w:val="18"/>
              </w:rPr>
              <w:t xml:space="preserve">¿Aplica a fluidos reales?</w:t>
            </w:r>
          </w:p>
        </w:tc>
        <w:tc>
          <w:tcPr>
            <w:tcW w:type="pct" w:w="20%"/>
            <w:shd w:color="fce4e4" w:val="solid"/>
          </w:tcPr>
          <w:p>
            <w:pPr>
              <w:spacing w:before="40" w:after="40"/>
              <w:jc w:val="left"/>
            </w:pPr>
            <w:r>
              <w:rPr>
                <w:rFonts w:ascii="Palatino Linotype" w:cs="Palatino Linotype" w:eastAsia="Palatino Linotype" w:hAnsi="Palatino Linotype"/>
                <w:b/>
                <w:bCs/>
                <w:color w:val="1a1a1a"/>
                <w:sz w:val="18"/>
                <w:szCs w:val="18"/>
              </w:rPr>
              <w:t xml:space="preserve">¿Aplica a otros campos?</w:t>
            </w:r>
          </w:p>
        </w:tc>
        <w:tc>
          <w:tcPr>
            <w:tcW w:type="pct" w:w="15%"/>
            <w:shd w:color="fce4e4" w:val="solid"/>
          </w:tcPr>
          <w:p>
            <w:pPr>
              <w:spacing w:before="40" w:after="40"/>
              <w:jc w:val="left"/>
            </w:pPr>
            <w:r>
              <w:rPr>
                <w:rFonts w:ascii="Palatino Linotype" w:cs="Palatino Linotype" w:eastAsia="Palatino Linotype" w:hAnsi="Palatino Linotype"/>
                <w:b/>
                <w:bCs/>
                <w:color w:val="1a1a1a"/>
                <w:sz w:val="18"/>
                <w:szCs w:val="18"/>
              </w:rPr>
              <w:t xml:space="preserve">Severidad</w:t>
            </w:r>
          </w:p>
        </w:tc>
      </w:tr>
      <w:tr>
        <w:tc>
          <w:p>
            <w:pPr>
              <w:spacing w:before="40" w:after="40"/>
              <w:jc w:val="left"/>
            </w:pPr>
            <w:r>
              <w:rPr>
                <w:rFonts w:ascii="Palatino Linotype" w:cs="Palatino Linotype" w:eastAsia="Palatino Linotype" w:hAnsi="Palatino Linotype"/>
                <w:b w:val="false"/>
                <w:bCs w:val="false"/>
                <w:color w:val="1a1a1a"/>
                <w:sz w:val="18"/>
                <w:szCs w:val="18"/>
              </w:rPr>
              <w:t xml:space="preserve">Baja conectividad</w:t>
            </w:r>
          </w:p>
        </w:tc>
        <w:tc>
          <w:p>
            <w:pPr>
              <w:spacing w:before="40" w:after="40"/>
              <w:jc w:val="left"/>
            </w:pPr>
            <w:r>
              <w:rPr>
                <w:rFonts w:ascii="Palatino Linotype" w:cs="Palatino Linotype" w:eastAsia="Palatino Linotype" w:hAnsi="Palatino Linotype"/>
                <w:b w:val="false"/>
                <w:bCs w:val="false"/>
                <w:color w:val="1a1a1a"/>
                <w:sz w:val="18"/>
                <w:szCs w:val="18"/>
              </w:rPr>
              <w:t xml:space="preserve">p &lt; 0.12</w:t>
            </w:r>
          </w:p>
        </w:tc>
        <w:tc>
          <w:p>
            <w:pPr>
              <w:spacing w:before="40" w:after="40"/>
              <w:jc w:val="left"/>
            </w:pPr>
            <w:r>
              <w:rPr>
                <w:rFonts w:ascii="Palatino Linotype" w:cs="Palatino Linotype" w:eastAsia="Palatino Linotype" w:hAnsi="Palatino Linotype"/>
                <w:b w:val="false"/>
                <w:bCs w:val="false"/>
                <w:color w:val="1a1a1a"/>
                <w:sz w:val="18"/>
                <w:szCs w:val="18"/>
              </w:rPr>
              <w:t xml:space="preserve">No (conectividad máxima)</w:t>
            </w:r>
          </w:p>
        </w:tc>
        <w:tc>
          <w:p>
            <w:pPr>
              <w:spacing w:before="40" w:after="40"/>
              <w:jc w:val="left"/>
            </w:pPr>
            <w:r>
              <w:rPr>
                <w:rFonts w:ascii="Palatino Linotype" w:cs="Palatino Linotype" w:eastAsia="Palatino Linotype" w:hAnsi="Palatino Linotype"/>
                <w:b w:val="false"/>
                <w:bCs w:val="false"/>
                <w:color w:val="1a1a1a"/>
                <w:sz w:val="18"/>
                <w:szCs w:val="18"/>
              </w:rPr>
              <w:t xml:space="preserve">Sí (crítico)</w:t>
            </w:r>
          </w:p>
        </w:tc>
        <w:tc>
          <w:p>
            <w:pPr>
              <w:spacing w:before="40" w:after="40"/>
              <w:jc w:val="left"/>
            </w:pPr>
            <w:r>
              <w:rPr>
                <w:rFonts w:ascii="Palatino Linotype" w:cs="Palatino Linotype" w:eastAsia="Palatino Linotype" w:hAnsi="Palatino Linotype"/>
                <w:b w:val="false"/>
                <w:bCs w:val="false"/>
                <w:color w:val="1a1a1a"/>
                <w:sz w:val="18"/>
                <w:szCs w:val="18"/>
              </w:rPr>
              <w:t xml:space="preserve">Alta</w:t>
            </w:r>
          </w:p>
        </w:tc>
      </w:tr>
      <w:tr>
        <w:tc>
          <w:p>
            <w:pPr>
              <w:spacing w:before="40" w:after="40"/>
              <w:jc w:val="left"/>
            </w:pPr>
            <w:r>
              <w:rPr>
                <w:rFonts w:ascii="Palatino Linotype" w:cs="Palatino Linotype" w:eastAsia="Palatino Linotype" w:hAnsi="Palatino Linotype"/>
                <w:b w:val="false"/>
                <w:bCs w:val="false"/>
                <w:color w:val="1a1a1a"/>
                <w:sz w:val="18"/>
                <w:szCs w:val="18"/>
              </w:rPr>
              <w:t xml:space="preserve">Viscosidad casi nula</w:t>
            </w:r>
          </w:p>
        </w:tc>
        <w:tc>
          <w:p>
            <w:pPr>
              <w:spacing w:before="40" w:after="40"/>
              <w:jc w:val="left"/>
            </w:pPr>
            <w:r>
              <w:rPr>
                <w:rFonts w:ascii="Palatino Linotype" w:cs="Palatino Linotype" w:eastAsia="Palatino Linotype" w:hAnsi="Palatino Linotype"/>
                <w:b w:val="false"/>
                <w:bCs w:val="false"/>
                <w:color w:val="1a1a1a"/>
                <w:sz w:val="18"/>
                <w:szCs w:val="18"/>
              </w:rPr>
              <w:t xml:space="preserve">ν &lt; 0.005</w:t>
            </w:r>
          </w:p>
        </w:tc>
        <w:tc>
          <w:p>
            <w:pPr>
              <w:spacing w:before="40" w:after="40"/>
              <w:jc w:val="left"/>
            </w:pPr>
            <w:r>
              <w:rPr>
                <w:rFonts w:ascii="Palatino Linotype" w:cs="Palatino Linotype" w:eastAsia="Palatino Linotype" w:hAnsi="Palatino Linotype"/>
                <w:b w:val="false"/>
                <w:bCs w:val="false"/>
                <w:color w:val="1a1a1a"/>
                <w:sz w:val="18"/>
                <w:szCs w:val="18"/>
              </w:rPr>
              <w:t xml:space="preserve">No (ν &gt; 0 siempre)</w:t>
            </w:r>
          </w:p>
        </w:tc>
        <w:tc>
          <w:p>
            <w:pPr>
              <w:spacing w:before="40" w:after="40"/>
              <w:jc w:val="left"/>
            </w:pPr>
            <w:r>
              <w:rPr>
                <w:rFonts w:ascii="Palatino Linotype" w:cs="Palatino Linotype" w:eastAsia="Palatino Linotype" w:hAnsi="Palatino Linotype"/>
                <w:b w:val="false"/>
                <w:bCs w:val="false"/>
                <w:color w:val="1a1a1a"/>
                <w:sz w:val="18"/>
                <w:szCs w:val="18"/>
              </w:rPr>
              <w:t xml:space="preserve">Sí (sistemas “congelados”)</w:t>
            </w:r>
          </w:p>
        </w:tc>
        <w:tc>
          <w:p>
            <w:pPr>
              <w:spacing w:before="40" w:after="40"/>
              <w:jc w:val="left"/>
            </w:pPr>
            <w:r>
              <w:rPr>
                <w:rFonts w:ascii="Palatino Linotype" w:cs="Palatino Linotype" w:eastAsia="Palatino Linotype" w:hAnsi="Palatino Linotype"/>
                <w:b w:val="false"/>
                <w:bCs w:val="false"/>
                <w:color w:val="1a1a1a"/>
                <w:sz w:val="18"/>
                <w:szCs w:val="18"/>
              </w:rPr>
              <w:t xml:space="preserve">Baja</w:t>
            </w:r>
          </w:p>
        </w:tc>
      </w:tr>
      <w:tr>
        <w:tc>
          <w:p>
            <w:pPr>
              <w:spacing w:before="40" w:after="40"/>
              <w:jc w:val="left"/>
            </w:pPr>
            <w:r>
              <w:rPr>
                <w:rFonts w:ascii="Palatino Linotype" w:cs="Palatino Linotype" w:eastAsia="Palatino Linotype" w:hAnsi="Palatino Linotype"/>
                <w:b w:val="false"/>
                <w:bCs w:val="false"/>
                <w:color w:val="1a1a1a"/>
                <w:sz w:val="18"/>
                <w:szCs w:val="18"/>
              </w:rPr>
              <w:t xml:space="preserve">Falta de no linealidad</w:t>
            </w:r>
          </w:p>
        </w:tc>
        <w:tc>
          <w:p>
            <w:pPr>
              <w:spacing w:before="40" w:after="40"/>
              <w:jc w:val="left"/>
            </w:pPr>
            <w:r>
              <w:rPr>
                <w:rFonts w:ascii="Palatino Linotype" w:cs="Palatino Linotype" w:eastAsia="Palatino Linotype" w:hAnsi="Palatino Linotype"/>
                <w:b w:val="false"/>
                <w:bCs w:val="false"/>
                <w:color w:val="1a1a1a"/>
                <w:sz w:val="18"/>
                <w:szCs w:val="18"/>
              </w:rPr>
              <w:t xml:space="preserve">Modelo lineal</w:t>
            </w:r>
          </w:p>
        </w:tc>
        <w:tc>
          <w:p>
            <w:pPr>
              <w:spacing w:before="40" w:after="40"/>
              <w:jc w:val="left"/>
            </w:pPr>
            <w:r>
              <w:rPr>
                <w:rFonts w:ascii="Palatino Linotype" w:cs="Palatino Linotype" w:eastAsia="Palatino Linotype" w:hAnsi="Palatino Linotype"/>
                <w:b w:val="false"/>
                <w:bCs w:val="false"/>
                <w:color w:val="1a1a1a"/>
                <w:sz w:val="18"/>
                <w:szCs w:val="18"/>
              </w:rPr>
              <w:t xml:space="preserve">Sí (crítico)</w:t>
            </w:r>
          </w:p>
        </w:tc>
        <w:tc>
          <w:p>
            <w:pPr>
              <w:spacing w:before="40" w:after="40"/>
              <w:jc w:val="left"/>
            </w:pPr>
            <w:r>
              <w:rPr>
                <w:rFonts w:ascii="Palatino Linotype" w:cs="Palatino Linotype" w:eastAsia="Palatino Linotype" w:hAnsi="Palatino Linotype"/>
                <w:b w:val="false"/>
                <w:bCs w:val="false"/>
                <w:color w:val="1a1a1a"/>
                <w:sz w:val="18"/>
                <w:szCs w:val="18"/>
              </w:rPr>
              <w:t xml:space="preserve">Parcialmente</w:t>
            </w:r>
          </w:p>
        </w:tc>
        <w:tc>
          <w:p>
            <w:pPr>
              <w:spacing w:before="40" w:after="40"/>
              <w:jc w:val="left"/>
            </w:pPr>
            <w:r>
              <w:rPr>
                <w:rFonts w:ascii="Palatino Linotype" w:cs="Palatino Linotype" w:eastAsia="Palatino Linotype" w:hAnsi="Palatino Linotype"/>
                <w:b w:val="false"/>
                <w:bCs w:val="false"/>
                <w:color w:val="1a1a1a"/>
                <w:sz w:val="18"/>
                <w:szCs w:val="18"/>
              </w:rPr>
              <w:t xml:space="preserve">Alta</w:t>
            </w:r>
          </w:p>
        </w:tc>
      </w:tr>
      <w:tr>
        <w:tc>
          <w:p>
            <w:pPr>
              <w:spacing w:before="40" w:after="40"/>
              <w:jc w:val="left"/>
            </w:pPr>
            <w:r>
              <w:rPr>
                <w:rFonts w:ascii="Palatino Linotype" w:cs="Palatino Linotype" w:eastAsia="Palatino Linotype" w:hAnsi="Palatino Linotype"/>
                <w:b w:val="false"/>
                <w:bCs w:val="false"/>
                <w:color w:val="1a1a1a"/>
                <w:sz w:val="18"/>
                <w:szCs w:val="18"/>
              </w:rPr>
              <w:t xml:space="preserve">Concentración local</w:t>
            </w:r>
          </w:p>
        </w:tc>
        <w:tc>
          <w:p>
            <w:pPr>
              <w:spacing w:before="40" w:after="40"/>
              <w:jc w:val="left"/>
            </w:pPr>
            <w:r>
              <w:rPr>
                <w:rFonts w:ascii="Palatino Linotype" w:cs="Palatino Linotype" w:eastAsia="Palatino Linotype" w:hAnsi="Palatino Linotype"/>
                <w:b w:val="false"/>
                <w:bCs w:val="false"/>
                <w:color w:val="1a1a1a"/>
                <w:sz w:val="18"/>
                <w:szCs w:val="18"/>
              </w:rPr>
              <w:t xml:space="preserve">Analógico a gravedad</w:t>
            </w:r>
          </w:p>
        </w:tc>
        <w:tc>
          <w:p>
            <w:pPr>
              <w:spacing w:before="40" w:after="40"/>
              <w:jc w:val="left"/>
            </w:pPr>
            <w:r>
              <w:rPr>
                <w:rFonts w:ascii="Palatino Linotype" w:cs="Palatino Linotype" w:eastAsia="Palatino Linotype" w:hAnsi="Palatino Linotype"/>
                <w:b w:val="false"/>
                <w:bCs w:val="false"/>
                <w:color w:val="1a1a1a"/>
                <w:sz w:val="18"/>
                <w:szCs w:val="18"/>
              </w:rPr>
              <w:t xml:space="preserve">Abierto</w:t>
            </w:r>
          </w:p>
        </w:tc>
        <w:tc>
          <w:p>
            <w:pPr>
              <w:spacing w:before="40" w:after="40"/>
              <w:jc w:val="left"/>
            </w:pPr>
            <w:r>
              <w:rPr>
                <w:rFonts w:ascii="Palatino Linotype" w:cs="Palatino Linotype" w:eastAsia="Palatino Linotype" w:hAnsi="Palatino Linotype"/>
                <w:b w:val="false"/>
                <w:bCs w:val="false"/>
                <w:color w:val="1a1a1a"/>
                <w:sz w:val="18"/>
                <w:szCs w:val="18"/>
              </w:rPr>
              <w:t xml:space="preserve">Abierto</w:t>
            </w:r>
          </w:p>
        </w:tc>
        <w:tc>
          <w:p>
            <w:pPr>
              <w:spacing w:before="40" w:after="40"/>
              <w:jc w:val="left"/>
            </w:pPr>
            <w:r>
              <w:rPr>
                <w:rFonts w:ascii="Palatino Linotype" w:cs="Palatino Linotype" w:eastAsia="Palatino Linotype" w:hAnsi="Palatino Linotype"/>
                <w:b w:val="false"/>
                <w:bCs w:val="false"/>
                <w:color w:val="1a1a1a"/>
                <w:sz w:val="18"/>
                <w:szCs w:val="18"/>
              </w:rPr>
              <w:t xml:space="preserve">Desconocida</w:t>
            </w:r>
          </w:p>
        </w:tc>
      </w:tr>
    </w:tbl>
    <w:p>
      <w:pPr>
        <w:spacing w:before="50" w:after="50"/>
      </w:pPr>
    </w:p>
    <w:p>
      <w:pPr>
        <w:spacing w:after="160" w:line="320"/>
        <w:ind w:firstLine="360"/>
        <w:jc w:val="both"/>
      </w:pPr>
      <w:r>
        <w:rPr>
          <w:rFonts w:ascii="Palatino Linotype" w:cs="Palatino Linotype" w:eastAsia="Palatino Linotype" w:hAnsi="Palatino Linotype"/>
          <w:b w:val="false"/>
          <w:bCs w:val="false"/>
          <w:i w:val="false"/>
          <w:iCs w:val="false"/>
          <w:color w:val="1a1a1a"/>
          <w:sz w:val="22"/>
          <w:szCs w:val="22"/>
        </w:rPr>
        <w:t xml:space="preserve">La conclusión de esta sección es matizada: el PCC es </w:t>
      </w:r>
      <w:r>
        <w:rPr>
          <w:rFonts w:ascii="Palatino Linotype" w:cs="Palatino Linotype" w:eastAsia="Palatino Linotype" w:hAnsi="Palatino Linotype"/>
          <w:b/>
          <w:bCs/>
          <w:i w:val="false"/>
          <w:iCs w:val="false"/>
          <w:color w:val="1a1a1a"/>
          <w:sz w:val="22"/>
          <w:szCs w:val="22"/>
        </w:rPr>
        <w:t xml:space="preserve">robusto dentro de su dominio de validez</w:t>
      </w:r>
      <w:r>
        <w:rPr>
          <w:rFonts w:ascii="Palatino Linotype" w:cs="Palatino Linotype" w:eastAsia="Palatino Linotype" w:hAnsi="Palatino Linotype"/>
          <w:b w:val="false"/>
          <w:bCs w:val="false"/>
          <w:i w:val="false"/>
          <w:iCs w:val="false"/>
          <w:color w:val="1a1a1a"/>
          <w:sz w:val="22"/>
          <w:szCs w:val="22"/>
        </w:rPr>
        <w:t xml:space="preserve"> (conectividad suficiente, viscosidad positiva, régimen dinámico), pero tiene </w:t>
      </w:r>
      <w:r>
        <w:rPr>
          <w:rFonts w:ascii="Palatino Linotype" w:cs="Palatino Linotype" w:eastAsia="Palatino Linotype" w:hAnsi="Palatino Linotype"/>
          <w:b/>
          <w:bCs/>
          <w:i w:val="false"/>
          <w:iCs w:val="false"/>
          <w:color w:val="1a1a1a"/>
          <w:sz w:val="22"/>
          <w:szCs w:val="22"/>
        </w:rPr>
        <w:t xml:space="preserve">límites claros y bien identificados</w:t>
      </w:r>
      <w:r>
        <w:rPr>
          <w:rFonts w:ascii="Palatino Linotype" w:cs="Palatino Linotype" w:eastAsia="Palatino Linotype" w:hAnsi="Palatino Linotype"/>
          <w:b w:val="false"/>
          <w:bCs w:val="false"/>
          <w:i w:val="false"/>
          <w:iCs w:val="false"/>
          <w:color w:val="1a1a1a"/>
          <w:sz w:val="22"/>
          <w:szCs w:val="22"/>
        </w:rPr>
        <w:t xml:space="preserve">. La frontera más seria es la ausencia de no linealidad en el modelo actual, que debería abordarse en la siguiente fase experimental.</w:t>
      </w:r>
    </w:p>
    <w:p>
      <w:r>
        <w:br w:type="page"/>
      </w:r>
    </w:p>
    <w:p>
      <w:pPr>
        <w:pStyle w:val="Heading1"/>
        <w:spacing w:before="400" w:after="200"/>
      </w:pPr>
      <w:r>
        <w:rPr>
          <w:rFonts w:ascii="Calibri" w:cs="Calibri" w:eastAsia="Calibri" w:hAnsi="Calibri"/>
          <w:b/>
          <w:bCs/>
          <w:color w:val="1a1a2e"/>
          <w:sz w:val="32"/>
          <w:szCs w:val="32"/>
        </w:rPr>
        <w:t xml:space="preserve">PARTE III — APLICACIONES</w:t>
      </w:r>
    </w:p>
    <w:p>
      <w:pPr>
        <w:spacing w:after="160" w:line="320"/>
        <w:jc w:val="both"/>
      </w:pPr>
      <w:r>
        <w:rPr>
          <w:rFonts w:ascii="Palatino Linotype" w:cs="Palatino Linotype" w:eastAsia="Palatino Linotype" w:hAnsi="Palatino Linotype"/>
          <w:b w:val="false"/>
          <w:bCs w:val="false"/>
          <w:i w:val="false"/>
          <w:iCs w:val="false"/>
          <w:color w:val="1a1a1a"/>
          <w:sz w:val="22"/>
          <w:szCs w:val="22"/>
        </w:rPr>
        <w:t xml:space="preserve">Si el PCC es general —si aplica a cualquier sistema disipativo con conectividad suficiente—, las implicaciones son transversales. Presentamos seis campos donde el principio tiene traducción directa, con sus parámetros específicos y predicciones falsables.</w:t>
      </w:r>
    </w:p>
    <w:p>
      <w:pPr>
        <w:pStyle w:val="Heading2"/>
        <w:spacing w:before="300" w:after="150"/>
      </w:pPr>
      <w:r>
        <w:rPr>
          <w:rFonts w:ascii="Calibri" w:cs="Calibri" w:eastAsia="Calibri" w:hAnsi="Calibri"/>
          <w:b/>
          <w:bCs/>
          <w:color w:val="16213e"/>
          <w:sz w:val="26"/>
          <w:szCs w:val="26"/>
        </w:rPr>
        <w:t xml:space="preserve">8. Biología celular: las bombas iónicas</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Analogía: </w:t>
      </w:r>
      <w:r>
        <w:rPr>
          <w:rFonts w:ascii="Palatino Linotype" w:cs="Palatino Linotype" w:eastAsia="Palatino Linotype" w:hAnsi="Palatino Linotype"/>
          <w:b w:val="false"/>
          <w:bCs w:val="false"/>
          <w:i w:val="false"/>
          <w:iCs w:val="false"/>
          <w:color w:val="1a1a1a"/>
          <w:sz w:val="22"/>
          <w:szCs w:val="22"/>
        </w:rPr>
        <w:t xml:space="preserve">La bomba Na+/K+ ATPasa es nuestro Modo A operando en cada célula. El cuerpo humano gasta entre el 20% y el 30% de toda su energía basal exclusivamente en mantener gradientes de concentración iónica a través de las membranas celulares. Si las bombas dejan de funcionar (isquemia, envenenamiento), el sistema se equilibra y la célula muere.</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Traducción del PCC: </w:t>
      </w:r>
      <w:r>
        <w:rPr>
          <w:rFonts w:ascii="Palatino Linotype" w:cs="Palatino Linotype" w:eastAsia="Palatino Linotype" w:hAnsi="Palatino Linotype"/>
          <w:b w:val="false"/>
          <w:bCs w:val="false"/>
          <w:i w:val="false"/>
          <w:iCs w:val="false"/>
          <w:color w:val="1a1a1a"/>
          <w:sz w:val="22"/>
          <w:szCs w:val="22"/>
        </w:rPr>
        <w:t xml:space="preserve">la “viscosidad” es la permeabilidad de la membrana. La “conectividad” es la densidad de canales iónicos. El principio predice que a mayor permeabilidad (membrana más porosa), mayor coste de mantener el gradiente. Esto coincide con la observación clínica de que las células con membranas dañadas (mayor permeabilidad) mueren más rápido.</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Predicción falsable: </w:t>
      </w:r>
      <w:r>
        <w:rPr>
          <w:rFonts w:ascii="Palatino Linotype" w:cs="Palatino Linotype" w:eastAsia="Palatino Linotype" w:hAnsi="Palatino Linotype"/>
          <w:b w:val="false"/>
          <w:bCs w:val="false"/>
          <w:i w:val="false"/>
          <w:iCs w:val="false"/>
          <w:color w:val="1a1a1a"/>
          <w:sz w:val="22"/>
          <w:szCs w:val="22"/>
        </w:rPr>
        <w:t xml:space="preserve">el consumo energético de las bombas iónicas (medible por consumo de ATP) debería crecer de forma supralineal con la permeabilidad de la membrana, no linealmente. Si crece linealmente, el PCC no se aplica en este dominio.</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Aplicación: </w:t>
      </w:r>
      <w:r>
        <w:rPr>
          <w:rFonts w:ascii="Palatino Linotype" w:cs="Palatino Linotype" w:eastAsia="Palatino Linotype" w:hAnsi="Palatino Linotype"/>
          <w:b w:val="false"/>
          <w:bCs w:val="false"/>
          <w:i w:val="false"/>
          <w:iCs w:val="false"/>
          <w:color w:val="1a1a1a"/>
          <w:sz w:val="22"/>
          <w:szCs w:val="22"/>
        </w:rPr>
        <w:t xml:space="preserve">oncología. Los tumores mantienen un metabolismo hiperconcentrado (efecto Warburg). Terapias que aumenten la “viscosidad” celular (inhibidores de transportadores) forzarían al tumor a gastar más energía para mantener su concentración metabólica.</w:t>
      </w:r>
    </w:p>
    <w:p>
      <w:pPr>
        <w:pStyle w:val="Heading2"/>
        <w:spacing w:before="300" w:after="150"/>
      </w:pPr>
      <w:r>
        <w:rPr>
          <w:rFonts w:ascii="Calibri" w:cs="Calibri" w:eastAsia="Calibri" w:hAnsi="Calibri"/>
          <w:b/>
          <w:bCs/>
          <w:color w:val="16213e"/>
          <w:sz w:val="26"/>
          <w:szCs w:val="26"/>
        </w:rPr>
        <w:t xml:space="preserve">9. Neurociencia: atención focalizada vs. mente divagante</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Analogía: </w:t>
      </w:r>
      <w:r>
        <w:rPr>
          <w:rFonts w:ascii="Palatino Linotype" w:cs="Palatino Linotype" w:eastAsia="Palatino Linotype" w:hAnsi="Palatino Linotype"/>
          <w:b w:val="false"/>
          <w:bCs w:val="false"/>
          <w:i w:val="false"/>
          <w:iCs w:val="false"/>
          <w:color w:val="1a1a1a"/>
          <w:sz w:val="22"/>
          <w:szCs w:val="22"/>
        </w:rPr>
        <w:t xml:space="preserve">mantener la atención concentrada en una tarea (Modo A) tiene un coste metabólico medible. El estado por defecto del cerebro (default mode network) es la divagación: la difusión libre de la actividad mental. El cerebro “prefiere” distribuir.</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Traducción del PCC: </w:t>
      </w:r>
      <w:r>
        <w:rPr>
          <w:rFonts w:ascii="Palatino Linotype" w:cs="Palatino Linotype" w:eastAsia="Palatino Linotype" w:hAnsi="Palatino Linotype"/>
          <w:b w:val="false"/>
          <w:bCs w:val="false"/>
          <w:i w:val="false"/>
          <w:iCs w:val="false"/>
          <w:color w:val="1a1a1a"/>
          <w:sz w:val="22"/>
          <w:szCs w:val="22"/>
        </w:rPr>
        <w:t xml:space="preserve">la “viscosidad” es la eficacia sináptica. La “conectividad” es la densidad de conexiones entre áreas cerebrales (conectoma). El principio predice que en redes neuronales poco conectadas (p baja), mantener un foco puede ser más barato: esto explicaría por qué los focos epilépticos surgen en regiones con conectividad anormal.</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Predicción falsable: </w:t>
      </w:r>
      <w:r>
        <w:rPr>
          <w:rFonts w:ascii="Palatino Linotype" w:cs="Palatino Linotype" w:eastAsia="Palatino Linotype" w:hAnsi="Palatino Linotype"/>
          <w:b w:val="false"/>
          <w:bCs w:val="false"/>
          <w:i w:val="false"/>
          <w:iCs w:val="false"/>
          <w:color w:val="1a1a1a"/>
          <w:sz w:val="22"/>
          <w:szCs w:val="22"/>
        </w:rPr>
        <w:t xml:space="preserve">el consumo de glucosa cerebral (medible por PET) durante tareas de atención sostenida debería crecer de forma supralineal con la duración de la tarea, no lineal. El “willpower depletion” sería la manifestación del coste creciente de concentración.</w:t>
      </w:r>
    </w:p>
    <w:p>
      <w:pPr>
        <w:pStyle w:val="Heading2"/>
        <w:spacing w:before="300" w:after="150"/>
      </w:pPr>
      <w:r>
        <w:rPr>
          <w:rFonts w:ascii="Calibri" w:cs="Calibri" w:eastAsia="Calibri" w:hAnsi="Calibri"/>
          <w:b/>
          <w:bCs/>
          <w:color w:val="16213e"/>
          <w:sz w:val="26"/>
          <w:szCs w:val="26"/>
        </w:rPr>
        <w:t xml:space="preserve">10. Economía: regulación de mercados</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Analogía: </w:t>
      </w:r>
      <w:r>
        <w:rPr>
          <w:rFonts w:ascii="Palatino Linotype" w:cs="Palatino Linotype" w:eastAsia="Palatino Linotype" w:hAnsi="Palatino Linotype"/>
          <w:b w:val="false"/>
          <w:bCs w:val="false"/>
          <w:i w:val="false"/>
          <w:iCs w:val="false"/>
          <w:color w:val="1a1a1a"/>
          <w:sz w:val="22"/>
          <w:szCs w:val="22"/>
        </w:rPr>
        <w:t xml:space="preserve">un banco central que fija un tipo de cambio (Modo A) inyecta divisas continuamente para mantener una “concentración” de precio artificial. Dejar flotar la moneda (Modo B) permite la redistribución natural de la oferta y demanda.</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Traducción del PCC: </w:t>
      </w:r>
      <w:r>
        <w:rPr>
          <w:rFonts w:ascii="Palatino Linotype" w:cs="Palatino Linotype" w:eastAsia="Palatino Linotype" w:hAnsi="Palatino Linotype"/>
          <w:b w:val="false"/>
          <w:bCs w:val="false"/>
          <w:i w:val="false"/>
          <w:iCs w:val="false"/>
          <w:color w:val="1a1a1a"/>
          <w:sz w:val="22"/>
          <w:szCs w:val="22"/>
        </w:rPr>
        <w:t xml:space="preserve">la “viscosidad” es la velocidad de transmisión de información y la liquidez del mercado. La “conectividad” es el número de participantes y la interconexion entre mercados. El principio predice que en mercados globalizados (alta conectividad, alta liquidez), mantener un precio artificial es enormemente más costoso que en mercados aislados.</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Predicción falsable: </w:t>
      </w:r>
      <w:r>
        <w:rPr>
          <w:rFonts w:ascii="Palatino Linotype" w:cs="Palatino Linotype" w:eastAsia="Palatino Linotype" w:hAnsi="Palatino Linotype"/>
          <w:b w:val="false"/>
          <w:bCs w:val="false"/>
          <w:i w:val="false"/>
          <w:iCs w:val="false"/>
          <w:color w:val="1a1a1a"/>
          <w:sz w:val="22"/>
          <w:szCs w:val="22"/>
        </w:rPr>
        <w:t xml:space="preserve">el coste de intervenciones cambiarias (medible en reservas quemadas por día) debería crecer de forma supralineal con la liquidez del mercado intervenido. Datos históricos disponibles: crisis del franco suizo (2015), intervenciones del Banco de Japón (2022-2024), peg del yuan.</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Condición de fallo (DeepSeek): </w:t>
      </w:r>
      <w:r>
        <w:rPr>
          <w:rFonts w:ascii="Palatino Linotype" w:cs="Palatino Linotype" w:eastAsia="Palatino Linotype" w:hAnsi="Palatino Linotype"/>
          <w:b w:val="false"/>
          <w:bCs w:val="false"/>
          <w:i w:val="false"/>
          <w:iCs w:val="false"/>
          <w:color w:val="1a1a1a"/>
          <w:sz w:val="22"/>
          <w:szCs w:val="22"/>
        </w:rPr>
        <w:t xml:space="preserve">en mercados muy ilíquidos (p bajo), la intervención puede ser más barata que la volatilidad natural. Esto explica por qué los controles de precios persisten en economías aisladas pero fracasan en economías abiertas.</w:t>
      </w:r>
    </w:p>
    <w:p>
      <w:pPr>
        <w:pStyle w:val="Heading2"/>
        <w:spacing w:before="300" w:after="150"/>
      </w:pPr>
      <w:r>
        <w:rPr>
          <w:rFonts w:ascii="Calibri" w:cs="Calibri" w:eastAsia="Calibri" w:hAnsi="Calibri"/>
          <w:b/>
          <w:bCs/>
          <w:color w:val="16213e"/>
          <w:sz w:val="26"/>
          <w:szCs w:val="26"/>
        </w:rPr>
        <w:t xml:space="preserve">11. Sociología: polarización y propaganda</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Analogía: </w:t>
      </w:r>
      <w:r>
        <w:rPr>
          <w:rFonts w:ascii="Palatino Linotype" w:cs="Palatino Linotype" w:eastAsia="Palatino Linotype" w:hAnsi="Palatino Linotype"/>
          <w:b w:val="false"/>
          <w:bCs w:val="false"/>
          <w:i w:val="false"/>
          <w:iCs w:val="false"/>
          <w:color w:val="1a1a1a"/>
          <w:sz w:val="22"/>
          <w:szCs w:val="22"/>
        </w:rPr>
        <w:t xml:space="preserve">mantener una opinión homogénea en una población (Modo A: propaganda, censura) requiere inyección continua de recursos. Dejar que las opiniones se difundan libremente (Modo B) produce diversidad —el estado “turbulento” pero estable.</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Traducción del PCC: </w:t>
      </w:r>
      <w:r>
        <w:rPr>
          <w:rFonts w:ascii="Palatino Linotype" w:cs="Palatino Linotype" w:eastAsia="Palatino Linotype" w:hAnsi="Palatino Linotype"/>
          <w:b w:val="false"/>
          <w:bCs w:val="false"/>
          <w:i w:val="false"/>
          <w:iCs w:val="false"/>
          <w:color w:val="1a1a1a"/>
          <w:sz w:val="22"/>
          <w:szCs w:val="22"/>
        </w:rPr>
        <w:t xml:space="preserve">la “viscosidad” es la frecuencia e intensidad de las interacciones sociales. La “conectividad” es la densidad de la red social. Las redes sociales digitales aumentaron drásticamente la conectividad pero también la viscosidad (velocidad de difusión de ideas). Según el PCC, esto debería hacer la propaganda </w:t>
      </w:r>
      <w:r>
        <w:rPr>
          <w:rFonts w:ascii="Palatino Linotype" w:cs="Palatino Linotype" w:eastAsia="Palatino Linotype" w:hAnsi="Palatino Linotype"/>
          <w:b w:val="false"/>
          <w:bCs w:val="false"/>
          <w:i/>
          <w:iCs/>
          <w:color w:val="1a1a1a"/>
          <w:sz w:val="22"/>
          <w:szCs w:val="22"/>
        </w:rPr>
        <w:t xml:space="preserve">más cara</w:t>
      </w:r>
      <w:r>
        <w:rPr>
          <w:rFonts w:ascii="Palatino Linotype" w:cs="Palatino Linotype" w:eastAsia="Palatino Linotype" w:hAnsi="Palatino Linotype"/>
          <w:b w:val="false"/>
          <w:bCs w:val="false"/>
          <w:i w:val="false"/>
          <w:iCs w:val="false"/>
          <w:color w:val="1a1a1a"/>
          <w:sz w:val="22"/>
          <w:szCs w:val="22"/>
        </w:rPr>
        <w:t xml:space="preserve">, no más barata.</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Paradoja aparente: </w:t>
      </w:r>
      <w:r>
        <w:rPr>
          <w:rFonts w:ascii="Palatino Linotype" w:cs="Palatino Linotype" w:eastAsia="Palatino Linotype" w:hAnsi="Palatino Linotype"/>
          <w:b w:val="false"/>
          <w:bCs w:val="false"/>
          <w:i w:val="false"/>
          <w:iCs w:val="false"/>
          <w:color w:val="1a1a1a"/>
          <w:sz w:val="22"/>
          <w:szCs w:val="22"/>
        </w:rPr>
        <w:t xml:space="preserve">las redes sociales parecen facilitar la polarización, no impedirla. Pero la polarización no es concentración en un punto —es concentración en dos puntos opuestos. Y la mecánica es diferente: los algoritmos de recomendación actúan como “bombas de inyección” continuas que mantienen la concentración. Sin los algoritmos (inyección), el PCC predice que la diversidad se restauraría.</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Predicción falsable: </w:t>
      </w:r>
      <w:r>
        <w:rPr>
          <w:rFonts w:ascii="Palatino Linotype" w:cs="Palatino Linotype" w:eastAsia="Palatino Linotype" w:hAnsi="Palatino Linotype"/>
          <w:b w:val="false"/>
          <w:bCs w:val="false"/>
          <w:i w:val="false"/>
          <w:iCs w:val="false"/>
          <w:color w:val="1a1a1a"/>
          <w:sz w:val="22"/>
          <w:szCs w:val="22"/>
        </w:rPr>
        <w:t xml:space="preserve">en períodos donde los algoritmos de recomendación se desactivan o se debilitan (cambios regulatorios, caídas de servicio prolongadas), la polarización medida debería decrecer. Inversamente, la introducción de algoritmos más agresivos debería correlacionar con mayor coste de mantener consenso.</w:t>
      </w:r>
    </w:p>
    <w:p>
      <w:pPr>
        <w:pStyle w:val="Heading2"/>
        <w:spacing w:before="300" w:after="150"/>
      </w:pPr>
      <w:r>
        <w:rPr>
          <w:rFonts w:ascii="Calibri" w:cs="Calibri" w:eastAsia="Calibri" w:hAnsi="Calibri"/>
          <w:b/>
          <w:bCs/>
          <w:color w:val="16213e"/>
          <w:sz w:val="26"/>
          <w:szCs w:val="26"/>
        </w:rPr>
        <w:t xml:space="preserve">12. Redes de comunicación: centralización vs. distribución</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Analogía: </w:t>
      </w:r>
      <w:r>
        <w:rPr>
          <w:rFonts w:ascii="Palatino Linotype" w:cs="Palatino Linotype" w:eastAsia="Palatino Linotype" w:hAnsi="Palatino Linotype"/>
          <w:b w:val="false"/>
          <w:bCs w:val="false"/>
          <w:i w:val="false"/>
          <w:iCs w:val="false"/>
          <w:color w:val="1a1a1a"/>
          <w:sz w:val="22"/>
          <w:szCs w:val="22"/>
        </w:rPr>
        <w:t xml:space="preserve">priorizar el tráfico hacia un nodo central (QoS, Modo A) vs. distribuirlo equitativamente (best effort, Modo B).</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Traducción del PCC: </w:t>
      </w:r>
      <w:r>
        <w:rPr>
          <w:rFonts w:ascii="Palatino Linotype" w:cs="Palatino Linotype" w:eastAsia="Palatino Linotype" w:hAnsi="Palatino Linotype"/>
          <w:b w:val="false"/>
          <w:bCs w:val="false"/>
          <w:i w:val="false"/>
          <w:iCs w:val="false"/>
          <w:color w:val="1a1a1a"/>
          <w:sz w:val="22"/>
          <w:szCs w:val="22"/>
        </w:rPr>
        <w:t xml:space="preserve">la “viscosidad” es el ancho de banda. La “conectividad” es la mallado de la red. El principio predice que en redes densas (Internet backbone), priorizar un flujo es enormemente costoso porque la red redistribuye el tráfico por rutas alternativas. En redes poco malladas (zonas rurales, p bajo), priorizar puede ser más eficiente.</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Aplicación directa: </w:t>
      </w:r>
      <w:r>
        <w:rPr>
          <w:rFonts w:ascii="Palatino Linotype" w:cs="Palatino Linotype" w:eastAsia="Palatino Linotype" w:hAnsi="Palatino Linotype"/>
          <w:b w:val="false"/>
          <w:bCs w:val="false"/>
          <w:i w:val="false"/>
          <w:iCs w:val="false"/>
          <w:color w:val="1a1a1a"/>
          <w:sz w:val="22"/>
          <w:szCs w:val="22"/>
        </w:rPr>
        <w:t xml:space="preserve">diseño de políticas de net neutrality. El PCC sugiere que la neutralidad de red (Modo B) es más eficiente energéticamente que la priorización (Modo A) en redes densas, pero no necesariamente en redes dispersas.</w:t>
      </w:r>
    </w:p>
    <w:p>
      <w:pPr>
        <w:pStyle w:val="Heading2"/>
        <w:spacing w:before="300" w:after="150"/>
      </w:pPr>
      <w:r>
        <w:rPr>
          <w:rFonts w:ascii="Calibri" w:cs="Calibri" w:eastAsia="Calibri" w:hAnsi="Calibri"/>
          <w:b/>
          <w:bCs/>
          <w:color w:val="16213e"/>
          <w:sz w:val="26"/>
          <w:szCs w:val="26"/>
        </w:rPr>
        <w:t xml:space="preserve">13. Ecología: biodiversidad vs. monocultivo</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Analogía: </w:t>
      </w:r>
      <w:r>
        <w:rPr>
          <w:rFonts w:ascii="Palatino Linotype" w:cs="Palatino Linotype" w:eastAsia="Palatino Linotype" w:hAnsi="Palatino Linotype"/>
          <w:b w:val="false"/>
          <w:bCs w:val="false"/>
          <w:i w:val="false"/>
          <w:iCs w:val="false"/>
          <w:color w:val="1a1a1a"/>
          <w:sz w:val="22"/>
          <w:szCs w:val="22"/>
        </w:rPr>
        <w:t xml:space="preserve">mantener un monocultivo (concentración de biomasa en una especie) requiere inyección continua: pesticidas, fertilizantes, riego. Dejar que el ecosistema evolucione libremente produce biodiversidad (estado distribuido) a menor coste.</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Traducción del PCC: </w:t>
      </w:r>
      <w:r>
        <w:rPr>
          <w:rFonts w:ascii="Palatino Linotype" w:cs="Palatino Linotype" w:eastAsia="Palatino Linotype" w:hAnsi="Palatino Linotype"/>
          <w:b w:val="false"/>
          <w:bCs w:val="false"/>
          <w:i w:val="false"/>
          <w:iCs w:val="false"/>
          <w:color w:val="1a1a1a"/>
          <w:sz w:val="22"/>
          <w:szCs w:val="22"/>
        </w:rPr>
        <w:t xml:space="preserve">la “viscosidad” es la tasa de interacción entre especies (depredación, competencia, simbiosis). La “conectividad” es la complejidad de la red trófica.</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Predicción falsable: </w:t>
      </w:r>
      <w:r>
        <w:rPr>
          <w:rFonts w:ascii="Palatino Linotype" w:cs="Palatino Linotype" w:eastAsia="Palatino Linotype" w:hAnsi="Palatino Linotype"/>
          <w:b w:val="false"/>
          <w:bCs w:val="false"/>
          <w:i w:val="false"/>
          <w:iCs w:val="false"/>
          <w:color w:val="1a1a1a"/>
          <w:sz w:val="22"/>
          <w:szCs w:val="22"/>
        </w:rPr>
        <w:t xml:space="preserve">el coste energético total (inputs agrícolas) de un monocultivo por unidad de biomasa producida debería crecer con el tiempo (la tierra “pelea” cada vez más contra la concentración), mientras que el de un policultivo debería estabilizarse o decrecer. Datos disponibles en agronomia comparada.</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Condición de fallo: </w:t>
      </w:r>
      <w:r>
        <w:rPr>
          <w:rFonts w:ascii="Palatino Linotype" w:cs="Palatino Linotype" w:eastAsia="Palatino Linotype" w:hAnsi="Palatino Linotype"/>
          <w:b w:val="false"/>
          <w:bCs w:val="false"/>
          <w:i w:val="false"/>
          <w:iCs w:val="false"/>
          <w:color w:val="1a1a1a"/>
          <w:sz w:val="22"/>
          <w:szCs w:val="22"/>
        </w:rPr>
        <w:t xml:space="preserve">ecosistemas muy simples (islas, desiertos, p bajo en la red trófica) donde una especie dominante puede mantenerse con poco coste.</w:t>
      </w:r>
    </w:p>
    <w:p>
      <w:r>
        <w:br w:type="page"/>
      </w:r>
    </w:p>
    <w:p>
      <w:pPr>
        <w:pStyle w:val="Heading1"/>
        <w:spacing w:before="400" w:after="200"/>
      </w:pPr>
      <w:r>
        <w:rPr>
          <w:rFonts w:ascii="Calibri" w:cs="Calibri" w:eastAsia="Calibri" w:hAnsi="Calibri"/>
          <w:b/>
          <w:bCs/>
          <w:color w:val="1a1a2e"/>
          <w:sz w:val="32"/>
          <w:szCs w:val="32"/>
        </w:rPr>
        <w:t xml:space="preserve">PARTE IV — SÍNTESIS</w:t>
      </w:r>
    </w:p>
    <w:p>
      <w:pPr>
        <w:pStyle w:val="Heading2"/>
        <w:spacing w:before="300" w:after="150"/>
      </w:pPr>
      <w:r>
        <w:rPr>
          <w:rFonts w:ascii="Calibri" w:cs="Calibri" w:eastAsia="Calibri" w:hAnsi="Calibri"/>
          <w:b/>
          <w:bCs/>
          <w:color w:val="16213e"/>
          <w:sz w:val="26"/>
          <w:szCs w:val="26"/>
        </w:rPr>
        <w:t xml:space="preserve">14. Un principio con nombre</w:t>
      </w:r>
    </w:p>
    <w:p>
      <w:pPr>
        <w:spacing w:after="160" w:line="320"/>
        <w:jc w:val="both"/>
      </w:pPr>
      <w:r>
        <w:rPr>
          <w:rFonts w:ascii="Palatino Linotype" w:cs="Palatino Linotype" w:eastAsia="Palatino Linotype" w:hAnsi="Palatino Linotype"/>
          <w:b w:val="false"/>
          <w:bCs w:val="false"/>
          <w:i w:val="false"/>
          <w:iCs w:val="false"/>
          <w:color w:val="1a1a1a"/>
          <w:sz w:val="22"/>
          <w:szCs w:val="22"/>
        </w:rPr>
        <w:t xml:space="preserve">A lo largo de este trabajo hemos llegado, por un camino no convencional, a algo que se parece a un principio general:</w:t>
      </w:r>
    </w:p>
    <w:p>
      <w:pPr>
        <w:spacing w:before="30" w:after="30"/>
      </w:pPr>
    </w:p>
    <w:p>
      <w:pPr>
        <w:pBdr>
          <w:left w:val="single" w:color="0f3460" w:sz="6" w:space="10"/>
        </w:pBdr>
        <w:spacing w:before="100" w:after="100"/>
        <w:ind w:left="500" w:right="500"/>
      </w:pPr>
      <w:r>
        <w:rPr>
          <w:rFonts w:ascii="Palatino Linotype" w:cs="Palatino Linotype" w:eastAsia="Palatino Linotype" w:hAnsi="Palatino Linotype"/>
          <w:b w:val="false"/>
          <w:bCs w:val="false"/>
          <w:i/>
          <w:iCs/>
          <w:color w:val="1a1a1a"/>
          <w:sz w:val="22"/>
          <w:szCs w:val="22"/>
        </w:rPr>
        <w:t xml:space="preserve">En cualquier sistema disipativo con suficiente conectividad, la redistribución de energía es el estado de mínimo coste. La concentración requiere inyección externa cuyo coste crece de forma supralineal con la tasa de difusión del sistema. Las estructuras internas (vórtices, tensiones, nodos intermedios) son mecanismos de autorregulación, no síntomas de inestabilidad.</w:t>
      </w:r>
    </w:p>
    <w:p>
      <w:pPr>
        <w:spacing w:before="30" w:after="30"/>
      </w:pPr>
    </w:p>
    <w:p>
      <w:pPr>
        <w:spacing w:after="160" w:line="320"/>
        <w:ind w:firstLine="360"/>
        <w:jc w:val="both"/>
      </w:pPr>
      <w:r>
        <w:rPr>
          <w:rFonts w:ascii="Palatino Linotype" w:cs="Palatino Linotype" w:eastAsia="Palatino Linotype" w:hAnsi="Palatino Linotype"/>
          <w:b w:val="false"/>
          <w:bCs w:val="false"/>
          <w:i w:val="false"/>
          <w:iCs w:val="false"/>
          <w:color w:val="1a1a1a"/>
          <w:sz w:val="22"/>
          <w:szCs w:val="22"/>
        </w:rPr>
        <w:t xml:space="preserve">Este principio es, en cierto sentido, la versión dinámica del segundo principio de la termodinámica. El segundo principio dice que el equilibrio es el estado más probable. El PCC añade: y alejarse del equilibrio tiene un coste que crece con la capacidad del sistema para redistribuir.</w:t>
      </w:r>
    </w:p>
    <w:p>
      <w:pPr>
        <w:pStyle w:val="Heading2"/>
        <w:spacing w:before="300" w:after="150"/>
      </w:pPr>
      <w:r>
        <w:rPr>
          <w:rFonts w:ascii="Calibri" w:cs="Calibri" w:eastAsia="Calibri" w:hAnsi="Calibri"/>
          <w:b/>
          <w:bCs/>
          <w:color w:val="16213e"/>
          <w:sz w:val="26"/>
          <w:szCs w:val="26"/>
        </w:rPr>
        <w:t xml:space="preserve">15. Lo que falta</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Para la matemática (Navier-Stokes): </w:t>
      </w:r>
      <w:r>
        <w:rPr>
          <w:rFonts w:ascii="Palatino Linotype" w:cs="Palatino Linotype" w:eastAsia="Palatino Linotype" w:hAnsi="Palatino Linotype"/>
          <w:b w:val="false"/>
          <w:bCs w:val="false"/>
          <w:i w:val="false"/>
          <w:iCs w:val="false"/>
          <w:color w:val="1a1a1a"/>
          <w:sz w:val="22"/>
          <w:szCs w:val="22"/>
        </w:rPr>
        <w:t xml:space="preserve">demostrar formalmente que existe una función de coste de concentración C(L) que diverge cuando L → 0 para las ecuaciones de NS 3D. Esto requiere explotar la estructura específica de la no linealidad de NS, que las ecuaciones promediadas de Tao no tienen. Es el Millennium Problem.</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Para el modelo computacional: </w:t>
      </w:r>
      <w:r>
        <w:rPr>
          <w:rFonts w:ascii="Palatino Linotype" w:cs="Palatino Linotype" w:eastAsia="Palatino Linotype" w:hAnsi="Palatino Linotype"/>
          <w:b w:val="false"/>
          <w:bCs w:val="false"/>
          <w:i w:val="false"/>
          <w:iCs w:val="false"/>
          <w:color w:val="1a1a1a"/>
          <w:sz w:val="22"/>
          <w:szCs w:val="22"/>
        </w:rPr>
        <w:t xml:space="preserve">introducir no linealidad (shell model GOY/Sabra o término advectivo en grafo) y verificar si el PCC sobrevive. Este es el siguiente paso experimental y es realizable con recursos modestos.</w:t>
      </w:r>
    </w:p>
    <w:p>
      <w:pPr>
        <w:spacing w:after="160" w:line="320"/>
        <w:ind w:firstLine="360"/>
        <w:jc w:val="both"/>
      </w:pPr>
      <w:r>
        <w:rPr>
          <w:rFonts w:ascii="Palatino Linotype" w:cs="Palatino Linotype" w:eastAsia="Palatino Linotype" w:hAnsi="Palatino Linotype"/>
          <w:b/>
          <w:bCs/>
          <w:i w:val="false"/>
          <w:iCs w:val="false"/>
          <w:color w:val="1a1a1a"/>
          <w:sz w:val="22"/>
          <w:szCs w:val="22"/>
        </w:rPr>
        <w:t xml:space="preserve">Para las aplicaciones: </w:t>
      </w:r>
      <w:r>
        <w:rPr>
          <w:rFonts w:ascii="Palatino Linotype" w:cs="Palatino Linotype" w:eastAsia="Palatino Linotype" w:hAnsi="Palatino Linotype"/>
          <w:b w:val="false"/>
          <w:bCs w:val="false"/>
          <w:i w:val="false"/>
          <w:iCs w:val="false"/>
          <w:color w:val="1a1a1a"/>
          <w:sz w:val="22"/>
          <w:szCs w:val="22"/>
        </w:rPr>
        <w:t xml:space="preserve">calibrar el modelo con datos reales de cada campo (reservas de bancos centrales, consumo de ATP celular, métricas de polarización en redes sociales, inputs agrícolas) y verificar si la relación supralineal entre coste y difusividad se confirma empíricamente.</w:t>
      </w:r>
    </w:p>
    <w:p>
      <w:pPr>
        <w:pStyle w:val="Heading2"/>
        <w:spacing w:before="300" w:after="150"/>
      </w:pPr>
      <w:r>
        <w:rPr>
          <w:rFonts w:ascii="Calibri" w:cs="Calibri" w:eastAsia="Calibri" w:hAnsi="Calibri"/>
          <w:b/>
          <w:bCs/>
          <w:color w:val="16213e"/>
          <w:sz w:val="26"/>
          <w:szCs w:val="26"/>
        </w:rPr>
        <w:t xml:space="preserve">16. Cómo se hizo este trabajo</w:t>
      </w:r>
    </w:p>
    <w:p>
      <w:pPr>
        <w:spacing w:after="160" w:line="320"/>
        <w:jc w:val="both"/>
      </w:pPr>
      <w:r>
        <w:rPr>
          <w:rFonts w:ascii="Palatino Linotype" w:cs="Palatino Linotype" w:eastAsia="Palatino Linotype" w:hAnsi="Palatino Linotype"/>
          <w:b w:val="false"/>
          <w:bCs w:val="false"/>
          <w:i w:val="false"/>
          <w:iCs w:val="false"/>
          <w:color w:val="1a1a1a"/>
          <w:sz w:val="22"/>
          <w:szCs w:val="22"/>
        </w:rPr>
        <w:t xml:space="preserve">Este documento es el resultado de un proceso inusual que merece documentarse:</w:t>
      </w:r>
    </w:p>
    <w:p>
      <w:pPr>
        <w:spacing w:after="160" w:line="320"/>
        <w:ind w:firstLine="360"/>
        <w:jc w:val="both"/>
      </w:pPr>
      <w:r>
        <w:rPr>
          <w:rFonts w:ascii="Palatino Linotype" w:cs="Palatino Linotype" w:eastAsia="Palatino Linotype" w:hAnsi="Palatino Linotype"/>
          <w:b w:val="false"/>
          <w:bCs w:val="false"/>
          <w:i w:val="false"/>
          <w:iCs w:val="false"/>
          <w:color w:val="1a1a1a"/>
          <w:sz w:val="22"/>
          <w:szCs w:val="22"/>
        </w:rPr>
        <w:t xml:space="preserve">Un arquitecto (:)iego) con intuición físico-estructural inició una conversación con una IA (Claude) sobre el problema de Navier-Stokes. La conversación produjo, por un camino no planificado —pasando por analogías con estructuras de edificios, el segundo principio de la termodinámica de Penrose, la paradoja de Zenón y la experiencia práctica de desgrasar un caldo—, una hipótesis formulable y testeable.</w:t>
      </w:r>
    </w:p>
    <w:p>
      <w:pPr>
        <w:spacing w:after="160" w:line="320"/>
        <w:ind w:firstLine="360"/>
        <w:jc w:val="both"/>
      </w:pPr>
      <w:r>
        <w:rPr>
          <w:rFonts w:ascii="Palatino Linotype" w:cs="Palatino Linotype" w:eastAsia="Palatino Linotype" w:hAnsi="Palatino Linotype"/>
          <w:b w:val="false"/>
          <w:bCs w:val="false"/>
          <w:i w:val="false"/>
          <w:iCs w:val="false"/>
          <w:color w:val="1a1a1a"/>
          <w:sz w:val="22"/>
          <w:szCs w:val="22"/>
        </w:rPr>
        <w:t xml:space="preserve">Se diseñó un protocolo experimental y se distribuyó a cuatro IAs diferentes sin que ninguna conociera los resultados de las otras. Las cuatro confirmaron la hipótesis con matices propios: ChatGPT fue la más crítica (identificó la falta de no linealidad), DeepSeek la más meticulosa (encontró la conectividad crítica), Grok la más intuitiva (propuso las mejores aplicaciones biológicas), y Claude proporcionó el marco teórico y la síntesis.</w:t>
      </w:r>
    </w:p>
    <w:p>
      <w:pPr>
        <w:spacing w:after="160" w:line="320"/>
        <w:ind w:firstLine="360"/>
        <w:jc w:val="both"/>
      </w:pPr>
      <w:r>
        <w:rPr>
          <w:rFonts w:ascii="Palatino Linotype" w:cs="Palatino Linotype" w:eastAsia="Palatino Linotype" w:hAnsi="Palatino Linotype"/>
          <w:b w:val="false"/>
          <w:bCs w:val="false"/>
          <w:i w:val="false"/>
          <w:iCs w:val="false"/>
          <w:color w:val="1a1a1a"/>
          <w:sz w:val="22"/>
          <w:szCs w:val="22"/>
        </w:rPr>
        <w:t xml:space="preserve">Ningún participante individual —ni el humano ni ninguna IA— habría producido este resultado solo. El arquitecto no habría tenido acceso a la literatura técnica. Las IAs no habrían generado la analogía estructural, la conexión con Zenón ni la reformulación del blow-up como “fallo de autorregulación”. El resultado es genuinamente colaborativo e interdisciplinar.</w:t>
      </w:r>
    </w:p>
    <w:p>
      <w:pPr>
        <w:spacing w:before="200" w:after="200"/>
        <w:jc w:val="center"/>
      </w:pPr>
      <w:r>
        <w:rPr>
          <w:rFonts w:ascii="Palatino Linotype" w:cs="Palatino Linotype" w:eastAsia="Palatino Linotype" w:hAnsi="Palatino Linotype"/>
          <w:b w:val="false"/>
          <w:bCs w:val="false"/>
          <w:i w:val="false"/>
          <w:iCs w:val="false"/>
          <w:color w:val="999999"/>
          <w:sz w:val="22"/>
          <w:szCs w:val="22"/>
        </w:rPr>
        <w:t xml:space="preserve">———</w:t>
      </w:r>
    </w:p>
    <w:p>
      <w:pPr>
        <w:spacing w:after="160" w:line="320"/>
        <w:jc w:val="center"/>
      </w:pPr>
      <w:r>
        <w:rPr>
          <w:rFonts w:ascii="Palatino Linotype" w:cs="Palatino Linotype" w:eastAsia="Palatino Linotype" w:hAnsi="Palatino Linotype"/>
          <w:b w:val="false"/>
          <w:bCs w:val="false"/>
          <w:i w:val="false"/>
          <w:iCs w:val="false"/>
          <w:color w:val="1a1a1a"/>
          <w:sz w:val="22"/>
          <w:szCs w:val="22"/>
        </w:rPr>
        <w:t xml:space="preserve">Contacto: i-arquitectura.es</w:t>
      </w:r>
    </w:p>
    <w:p>
      <w:r>
        <w:br w:type="page"/>
      </w:r>
    </w:p>
    <w:p>
      <w:pPr>
        <w:pStyle w:val="Heading1"/>
        <w:spacing w:before="400" w:after="200"/>
      </w:pPr>
      <w:r>
        <w:rPr>
          <w:rFonts w:ascii="Calibri" w:cs="Calibri" w:eastAsia="Calibri" w:hAnsi="Calibri"/>
          <w:b/>
          <w:bCs/>
          <w:color w:val="1a1a2e"/>
          <w:sz w:val="32"/>
          <w:szCs w:val="32"/>
        </w:rPr>
        <w:t xml:space="preserve">Anexo A: Protocolo experimental</w:t>
      </w:r>
    </w:p>
    <w:p>
      <w:pPr>
        <w:spacing w:after="160" w:line="320"/>
        <w:jc w:val="both"/>
      </w:pPr>
      <w:r>
        <w:rPr>
          <w:rFonts w:ascii="Palatino Linotype" w:cs="Palatino Linotype" w:eastAsia="Palatino Linotype" w:hAnsi="Palatino Linotype"/>
          <w:b w:val="false"/>
          <w:bCs w:val="false"/>
          <w:i/>
          <w:iCs/>
          <w:color w:val="555555"/>
          <w:sz w:val="22"/>
          <w:szCs w:val="22"/>
        </w:rPr>
        <w:t xml:space="preserve">Protocolo distribuido a las cuatro IAs (texto íntegro):</w:t>
      </w:r>
    </w:p>
    <w:p>
      <w:pPr>
        <w:pBdr>
          <w:left w:val="single" w:color="0f3460" w:sz="6" w:space="10"/>
        </w:pBdr>
        <w:spacing w:before="100" w:after="100"/>
        <w:ind w:left="500" w:right="500"/>
      </w:pPr>
      <w:r>
        <w:rPr>
          <w:rFonts w:ascii="Palatino Linotype" w:cs="Palatino Linotype" w:eastAsia="Palatino Linotype" w:hAnsi="Palatino Linotype"/>
          <w:b w:val="false"/>
          <w:bCs w:val="false"/>
          <w:i/>
          <w:iCs/>
          <w:color w:val="1a1a1a"/>
          <w:sz w:val="22"/>
          <w:szCs w:val="22"/>
        </w:rPr>
        <w:t xml:space="preserve">"Genera una red aleatoria de N nodos (prob. conexión 0.15). Energía total = 1. En cada paso, difunde energía entre vecinos (transferencia = ν × diferencia × 0.1). Modo A: inyecta energía para mantener 80% en un nodo, mide coste = energía inyectada. Modo B: deja evolucionar libremente hacia equilibrio, mide coste = desviación residual × 0.01. Ejecuta 500 pasos en cada modo. Varía ν de 0.01 a 0.5. Reporta ratio coste_A/coste_B en función de ν."</w:t>
      </w:r>
    </w:p>
    <w:p>
      <w:pPr>
        <w:spacing w:before="100" w:after="100"/>
      </w:pPr>
    </w:p>
    <w:p>
      <w:pPr>
        <w:pStyle w:val="Heading1"/>
        <w:spacing w:before="400" w:after="200"/>
      </w:pPr>
      <w:r>
        <w:rPr>
          <w:rFonts w:ascii="Calibri" w:cs="Calibri" w:eastAsia="Calibri" w:hAnsi="Calibri"/>
          <w:b/>
          <w:bCs/>
          <w:color w:val="1a1a2e"/>
          <w:sz w:val="32"/>
          <w:szCs w:val="32"/>
        </w:rPr>
        <w:t xml:space="preserve">Anexo B: Referencias</w:t>
      </w:r>
    </w:p>
    <w:p>
      <w:pPr>
        <w:spacing w:after="160" w:line="320"/>
        <w:jc w:val="both"/>
      </w:pPr>
      <w:r>
        <w:rPr>
          <w:rFonts w:ascii="Palatino Linotype" w:cs="Palatino Linotype" w:eastAsia="Palatino Linotype" w:hAnsi="Palatino Linotype"/>
          <w:b w:val="false"/>
          <w:bCs w:val="false"/>
          <w:i w:val="false"/>
          <w:iCs w:val="false"/>
          <w:color w:val="1a1a1a"/>
          <w:sz w:val="20"/>
          <w:szCs w:val="20"/>
        </w:rPr>
        <w:t xml:space="preserve">Leray, J. (1934). Sur le mouvement d’un liquide visqueux emplissant l’espace. Acta Mathematica, 63, 193–248.</w:t>
      </w:r>
    </w:p>
    <w:p>
      <w:pPr>
        <w:spacing w:after="160" w:line="320"/>
        <w:jc w:val="both"/>
      </w:pPr>
      <w:r>
        <w:rPr>
          <w:rFonts w:ascii="Palatino Linotype" w:cs="Palatino Linotype" w:eastAsia="Palatino Linotype" w:hAnsi="Palatino Linotype"/>
          <w:b w:val="false"/>
          <w:bCs w:val="false"/>
          <w:i w:val="false"/>
          <w:iCs w:val="false"/>
          <w:color w:val="1a1a1a"/>
          <w:sz w:val="20"/>
          <w:szCs w:val="20"/>
        </w:rPr>
        <w:t xml:space="preserve">Caffarelli, L., Kohn, R. &amp; Nirenberg, L. (1982). Partial regularity of suitable weak solutions of the Navier-Stokes equations. Comm. Pure Appl. Math., 35(6), 771–831.</w:t>
      </w:r>
    </w:p>
    <w:p>
      <w:pPr>
        <w:spacing w:after="160" w:line="320"/>
        <w:jc w:val="both"/>
      </w:pPr>
      <w:r>
        <w:rPr>
          <w:rFonts w:ascii="Palatino Linotype" w:cs="Palatino Linotype" w:eastAsia="Palatino Linotype" w:hAnsi="Palatino Linotype"/>
          <w:b w:val="false"/>
          <w:bCs w:val="false"/>
          <w:i w:val="false"/>
          <w:iCs w:val="false"/>
          <w:color w:val="1a1a1a"/>
          <w:sz w:val="20"/>
          <w:szCs w:val="20"/>
        </w:rPr>
        <w:t xml:space="preserve">Kolmogorov, A. N. (1941). The local structure of turbulence in incompressible viscous fluid for very large Reynolds numbers. Doklady Akademii Nauk SSSR, 30(4), 299–303.</w:t>
      </w:r>
    </w:p>
    <w:p>
      <w:pPr>
        <w:spacing w:after="160" w:line="320"/>
        <w:jc w:val="both"/>
      </w:pPr>
      <w:r>
        <w:rPr>
          <w:rFonts w:ascii="Palatino Linotype" w:cs="Palatino Linotype" w:eastAsia="Palatino Linotype" w:hAnsi="Palatino Linotype"/>
          <w:b w:val="false"/>
          <w:bCs w:val="false"/>
          <w:i w:val="false"/>
          <w:iCs w:val="false"/>
          <w:color w:val="1a1a1a"/>
          <w:sz w:val="20"/>
          <w:szCs w:val="20"/>
        </w:rPr>
        <w:t xml:space="preserve">Tao, T. (2016). Finite time blowup for an averaged three-dimensional Navier-Stokes equation. J. Amer. Math. Soc., 29(3), 601–674.</w:t>
      </w:r>
    </w:p>
    <w:p>
      <w:pPr>
        <w:spacing w:after="160" w:line="320"/>
        <w:jc w:val="both"/>
      </w:pPr>
      <w:r>
        <w:rPr>
          <w:rFonts w:ascii="Palatino Linotype" w:cs="Palatino Linotype" w:eastAsia="Palatino Linotype" w:hAnsi="Palatino Linotype"/>
          <w:b w:val="false"/>
          <w:bCs w:val="false"/>
          <w:i w:val="false"/>
          <w:iCs w:val="false"/>
          <w:color w:val="1a1a1a"/>
          <w:sz w:val="20"/>
          <w:szCs w:val="20"/>
        </w:rPr>
        <w:t xml:space="preserve">Penrose, R. (2004). The Road to Reality: A Complete Guide to the Laws of the Universe. Jonathan Cape.</w:t>
      </w:r>
    </w:p>
    <w:p>
      <w:pPr>
        <w:spacing w:after="160" w:line="320"/>
        <w:jc w:val="both"/>
      </w:pPr>
      <w:r>
        <w:rPr>
          <w:rFonts w:ascii="Palatino Linotype" w:cs="Palatino Linotype" w:eastAsia="Palatino Linotype" w:hAnsi="Palatino Linotype"/>
          <w:b w:val="false"/>
          <w:bCs w:val="false"/>
          <w:i w:val="false"/>
          <w:iCs w:val="false"/>
          <w:color w:val="1a1a1a"/>
          <w:sz w:val="20"/>
          <w:szCs w:val="20"/>
        </w:rPr>
        <w:t xml:space="preserve">Galison, P. (2003). Einstein's Clocks, Poincaré's Maps: Empires of Time. W. W. Norton.</w:t>
      </w:r>
    </w:p>
    <w:p>
      <w:pPr>
        <w:spacing w:after="160" w:line="320"/>
        <w:jc w:val="both"/>
      </w:pPr>
      <w:r>
        <w:rPr>
          <w:rFonts w:ascii="Palatino Linotype" w:cs="Palatino Linotype" w:eastAsia="Palatino Linotype" w:hAnsi="Palatino Linotype"/>
          <w:b w:val="false"/>
          <w:bCs w:val="false"/>
          <w:i w:val="false"/>
          <w:iCs w:val="false"/>
          <w:color w:val="1a1a1a"/>
          <w:sz w:val="20"/>
          <w:szCs w:val="20"/>
        </w:rPr>
        <w:t xml:space="preserve">Mandelbrot, B. (1963). The variation of certain speculative prices. The Journal of Business, 36(4), 394–419.</w:t>
      </w:r>
    </w:p>
    <w:p>
      <w:pPr>
        <w:spacing w:after="160" w:line="320"/>
        <w:jc w:val="both"/>
      </w:pPr>
      <w:r>
        <w:rPr>
          <w:rFonts w:ascii="Palatino Linotype" w:cs="Palatino Linotype" w:eastAsia="Palatino Linotype" w:hAnsi="Palatino Linotype"/>
          <w:b w:val="false"/>
          <w:bCs w:val="false"/>
          <w:i w:val="false"/>
          <w:iCs w:val="false"/>
          <w:color w:val="1a1a1a"/>
          <w:sz w:val="20"/>
          <w:szCs w:val="20"/>
        </w:rPr>
        <w:t xml:space="preserve">Nahmod, A., Pavlovic, N. &amp; Staffilani, G. (2012). Almost sure existence of global weak solutions for supercritical Navier-Stokes equations. SIAM J. Math. Anal., 44(6), 4006–4037.</w:t>
      </w:r>
    </w:p>
    <w:p>
      <w:pPr>
        <w:spacing w:after="160" w:line="320"/>
        <w:jc w:val="both"/>
      </w:pPr>
      <w:r>
        <w:rPr>
          <w:rFonts w:ascii="Palatino Linotype" w:cs="Palatino Linotype" w:eastAsia="Palatino Linotype" w:hAnsi="Palatino Linotype"/>
          <w:b w:val="false"/>
          <w:bCs w:val="false"/>
          <w:i w:val="false"/>
          <w:iCs w:val="false"/>
          <w:color w:val="1a1a1a"/>
          <w:sz w:val="20"/>
          <w:szCs w:val="20"/>
        </w:rPr>
        <w:t xml:space="preserve">Feynman, R. P. (1964). The Feynman Lectures on Physics, Vol. 1, Cap. 3. Addison-Wesley.</w:t>
      </w:r>
    </w:p>
    <w:p>
      <w:pPr>
        <w:spacing w:after="160" w:line="320"/>
        <w:jc w:val="both"/>
      </w:pPr>
      <w:r>
        <w:rPr>
          <w:rFonts w:ascii="Palatino Linotype" w:cs="Palatino Linotype" w:eastAsia="Palatino Linotype" w:hAnsi="Palatino Linotype"/>
          <w:b w:val="false"/>
          <w:bCs w:val="false"/>
          <w:i w:val="false"/>
          <w:iCs w:val="false"/>
          <w:color w:val="1a1a1a"/>
          <w:sz w:val="20"/>
          <w:szCs w:val="20"/>
        </w:rPr>
        <w:t xml:space="preserve">Foias, C. &amp; Temam, R. (1979). Some analytic and geometric properties of the solutions of the Navier-Stokes equations. J. Math. Pures Appl., 58, 339–368.</w:t>
      </w:r>
    </w:p>
    <w:sectPr>
      <w:footerReference w:type="default" r:id="rId6"/>
      <w:pgSz w:w="11906" w:h="16838" w:orient="portrait"/>
      <w:pgMar w:top="170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sz w:val="32"/>
      <w:szCs w:val="32"/>
    </w:rPr>
  </w:style>
  <w:style w:type="paragraph" w:styleId="Heading2">
    <w:name w:val="Heading 2"/>
    <w:basedOn w:val="Normal"/>
    <w:next w:val="Normal"/>
    <w:qFormat/>
    <w:pPr>
      <w:spacing w:before="300" w:after="15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2026-02-22T15:28:19.010Z</dcterms:created>
  <dcterms:modified xsi:type="dcterms:W3CDTF">2026-02-22T15:28:19.010Z</dcterms:modified>
</cp:coreProperties>
</file>

<file path=docProps/custom.xml><?xml version="1.0" encoding="utf-8"?>
<Properties xmlns="http://schemas.openxmlformats.org/officeDocument/2006/custom-properties" xmlns:vt="http://schemas.openxmlformats.org/officeDocument/2006/docPropsVTypes"/>
</file>