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2C3E50"/>
          <w:sz w:val="40"/>
          <w:szCs w:val="40"/>
        </w:rPr>
        <w:t xml:space="preserve">El Principio de Coste de Concentración (PCC)</w:t>
      </w:r>
    </w:p>
    <w:p>
      <w:pPr>
        <w:spacing w:after="80"/>
        <w:jc w:val="center"/>
      </w:pPr>
      <w:r>
        <w:rPr>
          <w:rFonts w:ascii="Arial" w:cs="Arial" w:eastAsia="Arial" w:hAnsi="Arial"/>
          <w:color w:val="666666"/>
          <w:sz w:val="26"/>
          <w:szCs w:val="26"/>
        </w:rPr>
        <w:t xml:space="preserve">Resultados del test no lineal y significado</w:t>
      </w:r>
    </w:p>
    <w:p>
      <w:pPr>
        <w:spacing w:after="200"/>
        <w:jc w:val="center"/>
      </w:pPr>
      <w:r>
        <w:rPr>
          <w:rFonts w:ascii="Arial" w:cs="Arial" w:eastAsia="Arial" w:hAnsi="Arial"/>
          <w:color w:val="888888"/>
          <w:sz w:val="20"/>
          <w:szCs w:val="20"/>
        </w:rPr>
        <w:t xml:space="preserve">Diego-dcv</w:t>
      </w:r>
    </w:p>
    <w:p>
      <w:pPr>
        <w:spacing w:after="40"/>
        <w:jc w:val="center"/>
      </w:pPr>
      <w:r>
        <w:rPr>
          <w:rFonts w:ascii="Arial" w:cs="Arial" w:eastAsia="Arial" w:hAnsi="Arial"/>
          <w:color w:val="AAAAAA"/>
          <w:sz w:val="18"/>
          <w:szCs w:val="18"/>
        </w:rPr>
        <w:t xml:space="preserve">Colaboración computacional: Claude, ChatGPT, Gemini, DeepSeek</w:t>
      </w:r>
    </w:p>
    <w:p>
      <w:pPr>
        <w:spacing w:after="200"/>
        <w:jc w:val="center"/>
      </w:pPr>
      <w:r>
        <w:rPr>
          <w:rFonts w:ascii="Arial" w:cs="Arial" w:eastAsia="Arial" w:hAnsi="Arial"/>
          <w:color w:val="AAAAAA"/>
          <w:sz w:val="18"/>
          <w:szCs w:val="18"/>
        </w:rPr>
        <w:t xml:space="preserve">Febrero 2026  ·  DOI: 10.5281/zenodo.18733970</w:t>
      </w:r>
    </w:p>
    <w:p>
      <w:pPr>
        <w:spacing w:before="200" w:after="60"/>
        <w:jc w:val="center"/>
      </w:pPr>
      <w:r>
        <w:rPr>
          <w:rFonts w:ascii="Georgia" w:cs="Georgia" w:eastAsia="Georgia" w:hAnsi="Georgia"/>
          <w:i/>
          <w:iCs/>
          <w:sz w:val="22"/>
          <w:szCs w:val="22"/>
        </w:rPr>
        <w:t xml:space="preserve">«La turbulencia es gratuita —no requiere trabajo externo—;</w:t>
      </w:r>
    </w:p>
    <w:p>
      <w:pPr>
        <w:spacing w:after="300"/>
        <w:jc w:val="center"/>
      </w:pPr>
      <w:r>
        <w:rPr>
          <w:rFonts w:ascii="Georgia" w:cs="Georgia" w:eastAsia="Georgia" w:hAnsi="Georgia"/>
          <w:i/>
          <w:iCs/>
          <w:sz w:val="22"/>
          <w:szCs w:val="22"/>
        </w:rPr>
        <w:t xml:space="preserve">concentrar energía contra la cascada, 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3E50" w:sz="3"/>
              <w:left w:val="single" w:color="2C3E50" w:sz="3"/>
              <w:bottom w:val="single" w:color="2C3E50" w:sz="3"/>
              <w:right w:val="single" w:color="2C3E50" w:sz="3"/>
            </w:tcBorders>
            <w:shd w:fill="EBF5FB" w:val="clear"/>
            <w:tcMar>
              <w:top w:type="dxa" w:w="200"/>
              <w:left w:type="dxa" w:w="300"/>
              <w:bottom w:type="dxa" w:w="200"/>
              <w:right w:type="dxa" w:w="300"/>
            </w:tcMar>
          </w:tcPr>
          <w:p>
            <w:pPr>
              <w:spacing w:after="120" w:line="280"/>
              <w:jc w:val="left"/>
            </w:pPr>
            <w:r>
              <w:rPr>
                <w:rFonts w:ascii="Arial" w:cs="Arial" w:eastAsia="Arial" w:hAnsi="Arial"/>
                <w:b/>
                <w:bCs/>
                <w:color w:val="2C3E50"/>
                <w:sz w:val="24"/>
                <w:szCs w:val="24"/>
              </w:rPr>
              <w:t xml:space="preserve">Por qué estos resultados son relevantes</w:t>
            </w:r>
          </w:p>
          <w:p>
            <w:pPr>
              <w:spacing w:after="120" w:line="280"/>
              <w:jc w:val="left"/>
            </w:pPr>
            <w:r>
              <w:rPr>
                <w:rFonts w:ascii="Georgia" w:cs="Georgia" w:eastAsia="Georgia" w:hAnsi="Georgia"/>
                <w:sz w:val="22"/>
                <w:szCs w:val="22"/>
              </w:rPr>
              <w:t xml:space="preserve">El problema del milenio de Navier-Stokes pregunta si un fluido puede desarrollar una singularidad: un punto donde la velocidad se hace infinita en tiempo finito. Esa singularidad, llamada </w:t>
            </w:r>
            <w:r>
              <w:rPr>
                <w:rFonts w:ascii="Georgia" w:cs="Georgia" w:eastAsia="Georgia" w:hAnsi="Georgia"/>
                <w:i/>
                <w:iCs/>
                <w:sz w:val="22"/>
                <w:szCs w:val="22"/>
              </w:rPr>
              <w:t xml:space="preserve">blow-up</w:t>
            </w:r>
            <w:r>
              <w:rPr>
                <w:rFonts w:ascii="Georgia" w:cs="Georgia" w:eastAsia="Georgia" w:hAnsi="Georgia"/>
                <w:sz w:val="22"/>
                <w:szCs w:val="22"/>
              </w:rPr>
              <w:t xml:space="preserve">, requiere que la energía cinética del fluido se concentre espontáneamente —sin ayuda externa— en escalas infinitesimalmente pequeñas.</w:t>
            </w:r>
          </w:p>
          <w:p>
            <w:pPr>
              <w:spacing w:after="120" w:line="280"/>
              <w:jc w:val="left"/>
            </w:pPr>
            <w:r>
              <w:rPr>
                <w:rFonts w:ascii="Georgia" w:cs="Georgia" w:eastAsia="Georgia" w:hAnsi="Georgia"/>
                <w:sz w:val="22"/>
                <w:szCs w:val="22"/>
              </w:rPr>
              <w:t xml:space="preserve">Hemos medido cuánto cuesta provocar esa concentración en modelos que reproducen la cascada de energía turbulenta. El resultado:</w:t>
            </w:r>
          </w:p>
          <w:p>
            <w:pPr>
              <w:spacing w:after="120" w:line="280"/>
              <w:jc w:val="left"/>
            </w:pPr>
            <w:r>
              <w:rPr>
                <w:rFonts w:ascii="Georgia" w:cs="Georgia" w:eastAsia="Georgia" w:hAnsi="Georgia"/>
                <w:b/>
                <w:bCs/>
                <w:sz w:val="22"/>
                <w:szCs w:val="22"/>
              </w:rPr>
              <w:t xml:space="preserve">Incluso inyectando energía desde fuera, concentrarla en escalas finas cuesta entre un millón y cien millones de veces más que la disipación natural del sistema.</w:t>
            </w:r>
          </w:p>
          <w:p>
            <w:pPr>
              <w:spacing w:after="120" w:line="280"/>
              <w:jc w:val="left"/>
            </w:pPr>
            <w:r>
              <w:rPr>
                <w:rFonts w:ascii="Georgia" w:cs="Georgia" w:eastAsia="Georgia" w:hAnsi="Georgia"/>
                <w:sz w:val="22"/>
                <w:szCs w:val="22"/>
              </w:rPr>
              <w:t xml:space="preserve">La cadena lógica es:</w:t>
            </w:r>
          </w:p>
          <w:p>
            <w:pPr>
              <w:spacing w:after="120" w:line="280"/>
              <w:jc w:val="left"/>
            </w:pPr>
            <w:r>
              <w:rPr>
                <w:rFonts w:ascii="Georgia" w:cs="Georgia" w:eastAsia="Georgia" w:hAnsi="Georgia"/>
                <w:b/>
                <w:bCs/>
                <w:sz w:val="22"/>
                <w:szCs w:val="22"/>
              </w:rPr>
              <w:t xml:space="preserve">1. </w:t>
            </w:r>
            <w:r>
              <w:rPr>
                <w:rFonts w:ascii="Georgia" w:cs="Georgia" w:eastAsia="Georgia" w:hAnsi="Georgia"/>
                <w:sz w:val="22"/>
                <w:szCs w:val="22"/>
              </w:rPr>
              <w:t xml:space="preserve">El blow-up necesita concentración espontánea (sin energía externa).</w:t>
            </w:r>
          </w:p>
          <w:p>
            <w:pPr>
              <w:spacing w:after="120" w:line="280"/>
              <w:jc w:val="left"/>
            </w:pPr>
            <w:r>
              <w:rPr>
                <w:rFonts w:ascii="Georgia" w:cs="Georgia" w:eastAsia="Georgia" w:hAnsi="Georgia"/>
                <w:b/>
                <w:bCs/>
                <w:sz w:val="22"/>
                <w:szCs w:val="22"/>
              </w:rPr>
              <w:t xml:space="preserve">2. </w:t>
            </w:r>
            <w:r>
              <w:rPr>
                <w:rFonts w:ascii="Georgia" w:cs="Georgia" w:eastAsia="Georgia" w:hAnsi="Georgia"/>
                <w:sz w:val="22"/>
                <w:szCs w:val="22"/>
              </w:rPr>
              <w:t xml:space="preserve">Hemos demostrado que </w:t>
            </w:r>
            <w:r>
              <w:rPr>
                <w:rFonts w:ascii="Georgia" w:cs="Georgia" w:eastAsia="Georgia" w:hAnsi="Georgia"/>
                <w:i/>
                <w:iCs/>
                <w:sz w:val="22"/>
                <w:szCs w:val="22"/>
              </w:rPr>
              <w:t xml:space="preserve">con</w:t>
            </w:r>
            <w:r>
              <w:rPr>
                <w:rFonts w:ascii="Georgia" w:cs="Georgia" w:eastAsia="Georgia" w:hAnsi="Georgia"/>
                <w:sz w:val="22"/>
                <w:szCs w:val="22"/>
              </w:rPr>
              <w:t xml:space="preserve"> energía externa, la concentración ya cuesta millones de veces más que el funcionamiento natural del sistema.</w:t>
            </w:r>
          </w:p>
          <w:p>
            <w:pPr>
              <w:spacing w:after="120" w:line="280"/>
              <w:jc w:val="left"/>
            </w:pPr>
            <w:r>
              <w:rPr>
                <w:rFonts w:ascii="Georgia" w:cs="Georgia" w:eastAsia="Georgia" w:hAnsi="Georgia"/>
                <w:b/>
                <w:bCs/>
                <w:sz w:val="22"/>
                <w:szCs w:val="22"/>
              </w:rPr>
              <w:t xml:space="preserve">3. </w:t>
            </w:r>
            <w:r>
              <w:rPr>
                <w:rFonts w:ascii="Georgia" w:cs="Georgia" w:eastAsia="Georgia" w:hAnsi="Georgia"/>
                <w:sz w:val="22"/>
                <w:szCs w:val="22"/>
              </w:rPr>
              <w:t xml:space="preserve">Por tanto, la concentración </w:t>
            </w:r>
            <w:r>
              <w:rPr>
                <w:rFonts w:ascii="Georgia" w:cs="Georgia" w:eastAsia="Georgia" w:hAnsi="Georgia"/>
                <w:i/>
                <w:iCs/>
                <w:sz w:val="22"/>
                <w:szCs w:val="22"/>
              </w:rPr>
              <w:t xml:space="preserve">sin</w:t>
            </w:r>
            <w:r>
              <w:rPr>
                <w:rFonts w:ascii="Georgia" w:cs="Georgia" w:eastAsia="Georgia" w:hAnsi="Georgia"/>
                <w:sz w:val="22"/>
                <w:szCs w:val="22"/>
              </w:rPr>
              <w:t xml:space="preserve"> energía externa —que es lo que el blow-up requiere— es energéticamente aún más prohibitiva.</w:t>
            </w:r>
          </w:p>
          <w:p>
            <w:pPr>
              <w:spacing w:after="0" w:line="280"/>
              <w:jc w:val="left"/>
            </w:pPr>
            <w:r>
              <w:rPr>
                <w:rFonts w:ascii="Georgia" w:cs="Georgia" w:eastAsia="Georgia" w:hAnsi="Georgia"/>
                <w:sz w:val="22"/>
                <w:szCs w:val="22"/>
              </w:rPr>
              <w:t xml:space="preserve">Esto no demuestra matemáticamente que el blow-up sea imposible. Pero establece que, si ocurriera, violaría una asimetría energética que se mantiene en todos los modelos no lineales testados. La naturaleza tendría que hacer gratis algo que, cuando se intenta forzar, cuesta millones de veces más que cualquier otra cosa que el sistema haga.</w:t>
            </w:r>
          </w:p>
        </w:tc>
      </w:tr>
    </w:tbl>
    <w:p>
      <w:pPr>
        <w:spacing w:after="80"/>
      </w:pPr>
    </w:p>
    <w:p>
      <w:pPr>
        <w:pStyle w:val="Heading1"/>
        <w:spacing w:before="360" w:after="160"/>
      </w:pPr>
      <w:r>
        <w:rPr>
          <w:rFonts w:ascii="Arial" w:cs="Arial" w:eastAsia="Arial" w:hAnsi="Arial"/>
          <w:b/>
          <w:bCs/>
          <w:sz w:val="32"/>
          <w:szCs w:val="32"/>
        </w:rPr>
        <w:t xml:space="preserve">1. La pregunta</w:t>
      </w:r>
    </w:p>
    <w:p>
      <w:pPr>
        <w:spacing w:after="140" w:line="300"/>
        <w:jc w:val="both"/>
      </w:pPr>
      <w:r>
        <w:rPr>
          <w:rFonts w:ascii="Georgia" w:cs="Georgia" w:eastAsia="Georgia" w:hAnsi="Georgia"/>
          <w:sz w:val="22"/>
          <w:szCs w:val="22"/>
        </w:rPr>
        <w:t xml:space="preserve">Las ecuaciones de Navier-Stokes gobiernan el movimiento de los fluidos. Desde 2000 son uno de los siete Problemas del Milenio del Instituto Clay. La pregunta concreta: dada una condición inicial suave en tres dimensiones, ¿permanece la solución suave para todo tiempo, o puede desarrollar una singularidad?</w:t>
      </w:r>
    </w:p>
    <w:p>
      <w:pPr>
        <w:spacing w:after="140" w:line="300"/>
        <w:ind w:firstLine="360"/>
        <w:jc w:val="both"/>
      </w:pPr>
      <w:r>
        <w:rPr>
          <w:rFonts w:ascii="Georgia" w:cs="Georgia" w:eastAsia="Georgia" w:hAnsi="Georgia"/>
          <w:sz w:val="22"/>
          <w:szCs w:val="22"/>
        </w:rPr>
        <w:t xml:space="preserve">Físicamente, la singularidad (blow-up) significaría que la velocidad del fluido se hace infinita en un punto y un instante. Para que eso ocurra, la energía cinética debe concentrarse en una región de tamaño cero. El PCC ataca esta cuestión desde un ángulo nuevo: no pregunta si la matemática lo permite, sino </w:t>
      </w:r>
      <w:r>
        <w:rPr>
          <w:rFonts w:ascii="Georgia" w:cs="Georgia" w:eastAsia="Georgia" w:hAnsi="Georgia"/>
          <w:b/>
          <w:bCs/>
          <w:sz w:val="22"/>
          <w:szCs w:val="22"/>
        </w:rPr>
        <w:t xml:space="preserve">cuánto costaría energéticamente que ocurriera.</w:t>
      </w:r>
    </w:p>
    <w:p>
      <w:pPr>
        <w:pStyle w:val="Heading1"/>
        <w:spacing w:before="360" w:after="160"/>
      </w:pPr>
      <w:r>
        <w:rPr>
          <w:rFonts w:ascii="Arial" w:cs="Arial" w:eastAsia="Arial" w:hAnsi="Arial"/>
          <w:b/>
          <w:bCs/>
          <w:sz w:val="32"/>
          <w:szCs w:val="32"/>
        </w:rPr>
        <w:t xml:space="preserve">2. El principio</w:t>
      </w:r>
    </w:p>
    <w:p>
      <w:pPr>
        <w:spacing w:after="140" w:line="300"/>
        <w:jc w:val="both"/>
      </w:pPr>
      <w:r>
        <w:rPr>
          <w:rFonts w:ascii="Georgia" w:cs="Georgia" w:eastAsia="Georgia" w:hAnsi="Georgia"/>
          <w:sz w:val="22"/>
          <w:szCs w:val="22"/>
        </w:rPr>
        <w:t xml:space="preserve">En un sistema disipativo con transferencia de energía entre escalas, definimos dos modos de operación:</w:t>
      </w:r>
    </w:p>
    <w:p>
      <w:pPr>
        <w:spacing w:after="140" w:line="300"/>
        <w:ind w:firstLine="360"/>
        <w:jc w:val="both"/>
      </w:pPr>
      <w:r>
        <w:rPr>
          <w:rFonts w:ascii="Georgia" w:cs="Georgia" w:eastAsia="Georgia" w:hAnsi="Georgia"/>
          <w:b/>
          <w:bCs/>
          <w:sz w:val="22"/>
          <w:szCs w:val="22"/>
        </w:rPr>
        <w:t xml:space="preserve">Modo B (cascada libre): </w:t>
      </w:r>
      <w:r>
        <w:rPr>
          <w:rFonts w:ascii="Georgia" w:cs="Georgia" w:eastAsia="Georgia" w:hAnsi="Georgia"/>
          <w:sz w:val="22"/>
          <w:szCs w:val="22"/>
        </w:rPr>
        <w:t xml:space="preserve">se fuerza el sistema en las escalas grandes y se deja que la energía fluya libremente hacia escalas pequeñas, donde se disipa por viscosidad. Se mide la disipación media ⟨D⟩. Este es el estado natural de la turbulencia.</w:t>
      </w:r>
    </w:p>
    <w:p>
      <w:pPr>
        <w:spacing w:after="140" w:line="300"/>
        <w:ind w:firstLine="360"/>
        <w:jc w:val="both"/>
      </w:pPr>
      <w:r>
        <w:rPr>
          <w:rFonts w:ascii="Georgia" w:cs="Georgia" w:eastAsia="Georgia" w:hAnsi="Georgia"/>
          <w:b/>
          <w:bCs/>
          <w:sz w:val="22"/>
          <w:szCs w:val="22"/>
        </w:rPr>
        <w:t xml:space="preserve">Modo A (concentración forzada): </w:t>
      </w:r>
      <w:r>
        <w:rPr>
          <w:rFonts w:ascii="Georgia" w:cs="Georgia" w:eastAsia="Georgia" w:hAnsi="Georgia"/>
          <w:sz w:val="22"/>
          <w:szCs w:val="22"/>
        </w:rPr>
        <w:t xml:space="preserve">además del forzamiento natural, se inyecta energía adicional para mantener una fracción fija (80%) de la energía total concentrada en las escalas más finas. Se mide la potencia de control ⟨P</w:t>
      </w:r>
      <w:r>
        <w:rPr>
          <w:rFonts w:ascii="Georgia" w:cs="Georgia" w:eastAsia="Georgia" w:hAnsi="Georgia"/>
          <w:sz w:val="22"/>
          <w:szCs w:val="22"/>
        </w:rPr>
        <w:t xml:space="preserve">g</w:t>
      </w:r>
      <w:r>
        <w:rPr>
          <w:rFonts w:ascii="Georgia" w:cs="Georgia" w:eastAsia="Georgia" w:hAnsi="Georgia"/>
          <w:sz w:val="22"/>
          <w:szCs w:val="22"/>
        </w:rPr>
        <w:t xml:space="preserve">⟩. Este es un estado artificial que simula lo que tendría que ocurrir para aproximarse a un blow-up.</w:t>
      </w:r>
    </w:p>
    <w:p>
      <w:pPr>
        <w:spacing w:after="140" w:line="300"/>
        <w:jc w:val="both"/>
      </w:pPr>
      <w:r>
        <w:rPr>
          <w:rFonts w:ascii="Georgia" w:cs="Georgia" w:eastAsia="Georgia" w:hAnsi="Georgia"/>
          <w:sz w:val="22"/>
          <w:szCs w:val="22"/>
        </w:rPr>
        <w:t xml:space="preserve">El PCC establece que la ratio R = ⟨P</w:t>
      </w:r>
      <w:r>
        <w:rPr>
          <w:rFonts w:ascii="Georgia" w:cs="Georgia" w:eastAsia="Georgia" w:hAnsi="Georgia"/>
          <w:sz w:val="22"/>
          <w:szCs w:val="22"/>
        </w:rPr>
        <w:t xml:space="preserve">g</w:t>
      </w:r>
      <w:r>
        <w:rPr>
          <w:rFonts w:ascii="Georgia" w:cs="Georgia" w:eastAsia="Georgia" w:hAnsi="Georgia"/>
          <w:sz w:val="22"/>
          <w:szCs w:val="22"/>
        </w:rPr>
        <w:t xml:space="preserve">⟩ / ⟨D⟩ es </w:t>
      </w:r>
      <w:r>
        <w:rPr>
          <w:rFonts w:ascii="Georgia" w:cs="Georgia" w:eastAsia="Georgia" w:hAnsi="Georgia"/>
          <w:b/>
          <w:bCs/>
          <w:sz w:val="22"/>
          <w:szCs w:val="22"/>
        </w:rPr>
        <w:t xml:space="preserve">siempre &gt;&gt; 1</w:t>
      </w:r>
      <w:r>
        <w:rPr>
          <w:rFonts w:ascii="Georgia" w:cs="Georgia" w:eastAsia="Georgia" w:hAnsi="Georgia"/>
          <w:sz w:val="22"/>
          <w:szCs w:val="22"/>
        </w:rPr>
        <w:t xml:space="preserve">: concentrar energía en escalas finas cuesta órdenes de magnitud más que dejar que el sistema se redistribuya libremente.</w:t>
      </w:r>
    </w:p>
    <w:p>
      <w:pPr>
        <w:pStyle w:val="Heading1"/>
        <w:spacing w:before="360" w:after="160"/>
      </w:pPr>
      <w:r>
        <w:rPr>
          <w:rFonts w:ascii="Arial" w:cs="Arial" w:eastAsia="Arial" w:hAnsi="Arial"/>
          <w:b/>
          <w:bCs/>
          <w:sz w:val="32"/>
          <w:szCs w:val="32"/>
        </w:rPr>
        <w:t xml:space="preserve">3. El test no lineal</w:t>
      </w:r>
    </w:p>
    <w:p>
      <w:pPr>
        <w:spacing w:after="140" w:line="300"/>
        <w:jc w:val="both"/>
      </w:pPr>
      <w:r>
        <w:rPr>
          <w:rFonts w:ascii="Georgia" w:cs="Georgia" w:eastAsia="Georgia" w:hAnsi="Georgia"/>
          <w:sz w:val="22"/>
          <w:szCs w:val="22"/>
        </w:rPr>
        <w:t xml:space="preserve">Un test previo en redes de difusión lineal confirmó el PCC, pero fue criticado legítimamente: sin el término advectivo (u·∇)u no hay cascada de energía real. Era imprescindible un modelo con transferencia no lineal entre escalas.</w:t>
      </w:r>
    </w:p>
    <w:p>
      <w:pPr>
        <w:pStyle w:val="Heading2"/>
        <w:spacing w:before="240" w:after="160"/>
      </w:pPr>
      <w:r>
        <w:rPr>
          <w:rFonts w:ascii="Arial" w:cs="Arial" w:eastAsia="Arial" w:hAnsi="Arial"/>
          <w:b/>
          <w:bCs/>
          <w:sz w:val="26"/>
          <w:szCs w:val="26"/>
        </w:rPr>
        <w:t xml:space="preserve">3.1  Por qué la no linealidad es el test decisivo</w:t>
      </w:r>
    </w:p>
    <w:p>
      <w:pPr>
        <w:spacing w:after="140" w:line="300"/>
        <w:jc w:val="both"/>
      </w:pPr>
      <w:r>
        <w:rPr>
          <w:rFonts w:ascii="Georgia" w:cs="Georgia" w:eastAsia="Georgia" w:hAnsi="Georgia"/>
          <w:sz w:val="22"/>
          <w:szCs w:val="22"/>
        </w:rPr>
        <w:t xml:space="preserve">En un modelo lineal, la energía se difunde y se disipa, pero no puede </w:t>
      </w:r>
      <w:r>
        <w:rPr>
          <w:rFonts w:ascii="Georgia" w:cs="Georgia" w:eastAsia="Georgia" w:hAnsi="Georgia"/>
          <w:i/>
          <w:iCs/>
          <w:sz w:val="22"/>
          <w:szCs w:val="22"/>
        </w:rPr>
        <w:t xml:space="preserve">concentrarse espontáneamente</w:t>
      </w:r>
      <w:r>
        <w:rPr>
          <w:rFonts w:ascii="Georgia" w:cs="Georgia" w:eastAsia="Georgia" w:hAnsi="Georgia"/>
          <w:sz w:val="22"/>
          <w:szCs w:val="22"/>
        </w:rPr>
        <w:t xml:space="preserve">. La cascada no lineal sí puede: transfiere energía de escalas grandes a pequeñas. </w:t>
      </w:r>
      <w:r>
        <w:rPr>
          <w:rFonts w:ascii="Georgia" w:cs="Georgia" w:eastAsia="Georgia" w:hAnsi="Georgia"/>
          <w:sz w:val="22"/>
          <w:szCs w:val="22"/>
        </w:rPr>
        <w:t xml:space="preserve">Es precisamente este mecanismo el que, en teoría, podría generar un blow-up. Si el PCC sobrevive en presencia de la cascada no lineal, el argumento contra el blow-up se fortalece enormemente. Si la cascada lo invalidara, el PCC no tendría nada que decir sobre Navier-Stokes.</w:t>
      </w:r>
    </w:p>
    <w:p>
      <w:pPr>
        <w:spacing w:after="140" w:line="300"/>
        <w:ind w:firstLine="360"/>
        <w:jc w:val="both"/>
      </w:pPr>
      <w:r>
        <w:rPr>
          <w:rFonts w:ascii="Georgia" w:cs="Georgia" w:eastAsia="Georgia" w:hAnsi="Georgia"/>
          <w:b/>
          <w:bCs/>
          <w:sz w:val="22"/>
          <w:szCs w:val="22"/>
        </w:rPr>
        <w:t xml:space="preserve">Resultado: el PCC no solo sobrevive a la no linealidad. La cascada lo refuerza.</w:t>
      </w:r>
      <w:r>
        <w:rPr>
          <w:rFonts w:ascii="Georgia" w:cs="Georgia" w:eastAsia="Georgia" w:hAnsi="Georgia"/>
          <w:sz w:val="22"/>
          <w:szCs w:val="22"/>
        </w:rPr>
        <w:t xml:space="preserve"> Las ratios pasan de 10¹–10² (modelo lineal) a 10⁶–10⁸ (modelo no lineal). La cascada, lejos de facilitar la concentración, la hace exponencialmente más cara.</w:t>
      </w:r>
    </w:p>
    <w:p>
      <w:pPr>
        <w:pStyle w:val="Heading2"/>
        <w:spacing w:before="240" w:after="160"/>
      </w:pPr>
      <w:r>
        <w:rPr>
          <w:rFonts w:ascii="Arial" w:cs="Arial" w:eastAsia="Arial" w:hAnsi="Arial"/>
          <w:b/>
          <w:bCs/>
          <w:sz w:val="26"/>
          <w:szCs w:val="26"/>
        </w:rPr>
        <w:t xml:space="preserve">3.2  El modelo GOY</w:t>
      </w:r>
    </w:p>
    <w:p>
      <w:pPr>
        <w:spacing w:after="140" w:line="300"/>
        <w:jc w:val="both"/>
      </w:pPr>
      <w:r>
        <w:rPr>
          <w:rFonts w:ascii="Georgia" w:cs="Georgia" w:eastAsia="Georgia" w:hAnsi="Georgia"/>
          <w:sz w:val="22"/>
          <w:szCs w:val="22"/>
        </w:rPr>
        <w:t xml:space="preserve">El modelo Gledzer-Ohkitani-Yamada divide el espectro de energía en N shells logarítmicas (k</w:t>
      </w:r>
      <w:r>
        <w:rPr>
          <w:rFonts w:ascii="Georgia" w:cs="Georgia" w:eastAsia="Georgia" w:hAnsi="Georgia"/>
          <w:sz w:val="22"/>
          <w:szCs w:val="22"/>
        </w:rPr>
        <w:t xml:space="preserve">ₙ = k₀ · λⁿ). Cada shell tiene una velocidad compleja uₙ con un término cuadrático que transfiere energía entre shells vecinas (conservando la energía total, como la advección en Navier-Stokes) y un término viscoso −ν·kₙ²·uₙ que disipa.</w:t>
      </w:r>
    </w:p>
    <w:p>
      <w:pPr>
        <w:spacing w:after="140" w:line="300"/>
        <w:jc w:val="both"/>
      </w:pPr>
      <w:r>
        <w:rPr>
          <w:rFonts w:ascii="Georgia" w:cs="Georgia" w:eastAsia="Georgia" w:hAnsi="Georgia"/>
          <w:sz w:val="22"/>
          <w:szCs w:val="22"/>
        </w:rPr>
        <w:t xml:space="preserve">Parámetros: N=15 shells, k₀=1, λ=2 (kₙ de 1 a 16.384), forzamiento F=5.0 en shell grande, integrador IF-RK2, 3 realizaciones por ν. El protocolo fue ejecutado de forma independiente por múltiples implementaciones sin compartir resultados (análisis ciego).</w:t>
      </w:r>
    </w:p>
    <w:p>
      <w:pPr>
        <w:pStyle w:val="Heading1"/>
        <w:spacing w:before="360" w:after="160"/>
      </w:pPr>
      <w:r>
        <w:rPr>
          <w:rFonts w:ascii="Arial" w:cs="Arial" w:eastAsia="Arial" w:hAnsi="Arial"/>
          <w:b/>
          <w:bCs/>
          <w:sz w:val="32"/>
          <w:szCs w:val="32"/>
        </w:rPr>
        <w:t xml:space="preserve">4.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800"/>
        <w:gridCol w:w="1326"/>
      </w:tblGrid>
      <w:tr>
        <w:tc>
          <w:tcPr>
            <w:tcW w:type="dxa" w:w="15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ν</w:t>
            </w:r>
          </w:p>
        </w:tc>
        <w:tc>
          <w:tcPr>
            <w:tcW w:type="dxa" w:w="2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Coste B (disipación)</w:t>
            </w:r>
          </w:p>
        </w:tc>
        <w:tc>
          <w:tcPr>
            <w:tcW w:type="dxa" w:w="2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Coste A (control)</w:t>
            </w:r>
          </w:p>
        </w:tc>
        <w:tc>
          <w:tcPr>
            <w:tcW w:type="dxa" w:w="1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Ratio R</w:t>
            </w:r>
          </w:p>
        </w:tc>
        <w:tc>
          <w:tcPr>
            <w:tcW w:type="dxa" w:w="1326"/>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PCC</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0.005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6.21 × 10⁻⁷</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3.63 × 10¹</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6.1 × 10⁷</w:t>
            </w:r>
          </w:p>
        </w:tc>
        <w:tc>
          <w:tcPr>
            <w:tcW w:type="dxa" w:w="1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r>
      <w:tr>
        <w:tc>
          <w:tcPr>
            <w:tcW w:type="dxa" w:w="15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0.01</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9.06 × 10⁻⁷</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6.70 × 10¹</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7.6 × 10⁷</w:t>
            </w:r>
          </w:p>
        </w:tc>
        <w:tc>
          <w:tcPr>
            <w:tcW w:type="dxa" w:w="1326"/>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0.02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1.16 × 10⁻³</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2.32 × 10⁴</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2.0 × 10⁷</w:t>
            </w:r>
          </w:p>
        </w:tc>
        <w:tc>
          <w:tcPr>
            <w:tcW w:type="dxa" w:w="1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r>
      <w:tr>
        <w:tc>
          <w:tcPr>
            <w:tcW w:type="dxa" w:w="15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0.05</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2.90 × 10⁻³</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2.32 × 10⁴</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8.0 × 10⁶</w:t>
            </w:r>
          </w:p>
        </w:tc>
        <w:tc>
          <w:tcPr>
            <w:tcW w:type="dxa" w:w="1326"/>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0.10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5.74 × 10⁻³</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2.30 × 10⁴</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4.0 × 10⁶</w:t>
            </w:r>
          </w:p>
        </w:tc>
        <w:tc>
          <w:tcPr>
            <w:tcW w:type="dxa" w:w="1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r>
      <w:tr>
        <w:tc>
          <w:tcPr>
            <w:tcW w:type="dxa" w:w="15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0.20</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1.13 × 10⁻²</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2.26 × 10⁴</w:t>
            </w:r>
          </w:p>
        </w:tc>
        <w:tc>
          <w:tcPr>
            <w:tcW w:type="dxa" w:w="18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2.0 × 10⁶</w:t>
            </w:r>
          </w:p>
        </w:tc>
        <w:tc>
          <w:tcPr>
            <w:tcW w:type="dxa" w:w="1326"/>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t>
            </w:r>
          </w:p>
        </w:tc>
      </w:tr>
    </w:tbl>
    <w:p>
      <w:pPr>
        <w:spacing w:after="140" w:line="300"/>
        <w:jc w:val="left"/>
      </w:pPr>
      <w:r>
        <w:rPr>
          <w:rFonts w:ascii="Georgia" w:cs="Georgia" w:eastAsia="Georgia" w:hAnsi="Georgia"/>
          <w:i/>
          <w:iCs/>
          <w:sz w:val="22"/>
          <w:szCs w:val="22"/>
        </w:rPr>
        <w:t xml:space="preserve">Tabla 1. Modelo GOY no lineal. La ratio R = coste_A / coste_B es del orden de 10⁶–10⁸ para todo ν. Valores promediados sobre 3 realizaciones. Fuente: ejecución independiente verificada.</w:t>
      </w:r>
    </w:p>
    <w:p>
      <w:pPr>
        <w:spacing w:after="80"/>
      </w:pPr>
    </w:p>
    <w:p>
      <w:pPr>
        <w:pStyle w:val="Heading2"/>
        <w:spacing w:before="240" w:after="160"/>
      </w:pPr>
      <w:r>
        <w:rPr>
          <w:rFonts w:ascii="Arial" w:cs="Arial" w:eastAsia="Arial" w:hAnsi="Arial"/>
          <w:b/>
          <w:bCs/>
          <w:sz w:val="26"/>
          <w:szCs w:val="26"/>
        </w:rPr>
        <w:t xml:space="preserve">4.1  Lo que dicen los números</w:t>
      </w:r>
    </w:p>
    <w:p>
      <w:pPr>
        <w:spacing w:after="140" w:line="300"/>
        <w:jc w:val="both"/>
      </w:pPr>
      <w:r>
        <w:rPr>
          <w:rFonts w:ascii="Georgia" w:cs="Georgia" w:eastAsia="Georgia" w:hAnsi="Georgia"/>
          <w:b/>
          <w:bCs/>
          <w:sz w:val="22"/>
          <w:szCs w:val="22"/>
        </w:rPr>
        <w:t xml:space="preserve">La ratio es siempre enorme. </w:t>
      </w:r>
      <w:r>
        <w:rPr>
          <w:rFonts w:ascii="Georgia" w:cs="Georgia" w:eastAsia="Georgia" w:hAnsi="Georgia"/>
          <w:sz w:val="22"/>
          <w:szCs w:val="22"/>
        </w:rPr>
        <w:t xml:space="preserve">El valor mínimo observado es 2 × 10⁶ (ν = 0.2). Esto significa que incluso en el caso más favorable para la concentración, mantener el 80% de la energía en las escalas finas cuesta </w:t>
      </w:r>
      <w:r>
        <w:rPr>
          <w:rFonts w:ascii="Georgia" w:cs="Georgia" w:eastAsia="Georgia" w:hAnsi="Georgia"/>
          <w:b/>
          <w:bCs/>
          <w:sz w:val="22"/>
          <w:szCs w:val="22"/>
        </w:rPr>
        <w:t xml:space="preserve">dos millones de veces</w:t>
      </w:r>
      <w:r>
        <w:rPr>
          <w:rFonts w:ascii="Georgia" w:cs="Georgia" w:eastAsia="Georgia" w:hAnsi="Georgia"/>
          <w:sz w:val="22"/>
          <w:szCs w:val="22"/>
        </w:rPr>
        <w:t xml:space="preserve"> más que dejar que el sistema se redistribuya solo.</w:t>
      </w:r>
    </w:p>
    <w:p>
      <w:pPr>
        <w:spacing w:after="140" w:line="300"/>
        <w:jc w:val="both"/>
      </w:pPr>
      <w:r>
        <w:rPr>
          <w:rFonts w:ascii="Georgia" w:cs="Georgia" w:eastAsia="Georgia" w:hAnsi="Georgia"/>
          <w:b/>
          <w:bCs/>
          <w:sz w:val="22"/>
          <w:szCs w:val="22"/>
        </w:rPr>
        <w:t xml:space="preserve">La cascada impide activamente la concentración. </w:t>
      </w:r>
      <w:r>
        <w:rPr>
          <w:rFonts w:ascii="Georgia" w:cs="Georgia" w:eastAsia="Georgia" w:hAnsi="Georgia"/>
          <w:sz w:val="22"/>
          <w:szCs w:val="22"/>
        </w:rPr>
        <w:t xml:space="preserve">En experimentos paralelos con control suave (modelo Sabra), la fracción de energía en alta-k raramente alcanza el 80% objetivo, a pesar de la inyección continua. La cascada devuelve la energía a las escalas grandes más rápido de lo que el control puede inyectarla. No es solo que concentrar sea caro: la cascada lo hace prácticamente imposible.</w:t>
      </w:r>
    </w:p>
    <w:p>
      <w:pPr>
        <w:spacing w:after="140" w:line="300"/>
        <w:jc w:val="both"/>
      </w:pPr>
      <w:r>
        <w:rPr>
          <w:rFonts w:ascii="Georgia" w:cs="Georgia" w:eastAsia="Georgia" w:hAnsi="Georgia"/>
          <w:b/>
          <w:bCs/>
          <w:sz w:val="22"/>
          <w:szCs w:val="22"/>
        </w:rPr>
        <w:t xml:space="preserve">El resultado es estable. </w:t>
      </w:r>
      <w:r>
        <w:rPr>
          <w:rFonts w:ascii="Georgia" w:cs="Georgia" w:eastAsia="Georgia" w:hAnsi="Georgia"/>
          <w:sz w:val="22"/>
          <w:szCs w:val="22"/>
        </w:rPr>
        <w:t xml:space="preserve">Un test de convergencia temporal (mismo ν, ventana de medida creciente) muestra que la ratio se estabiliza y no decae. No es un artefacto transitorio.</w:t>
      </w:r>
    </w:p>
    <w:p>
      <w:pPr>
        <w:spacing w:after="140" w:line="300"/>
        <w:jc w:val="both"/>
      </w:pPr>
      <w:r>
        <w:rPr>
          <w:rFonts w:ascii="Georgia" w:cs="Georgia" w:eastAsia="Georgia" w:hAnsi="Georgia"/>
          <w:b/>
          <w:bCs/>
          <w:sz w:val="22"/>
          <w:szCs w:val="22"/>
        </w:rPr>
        <w:t xml:space="preserve">Existe un cambio de régimen. </w:t>
      </w:r>
      <w:r>
        <w:rPr>
          <w:rFonts w:ascii="Georgia" w:cs="Georgia" w:eastAsia="Georgia" w:hAnsi="Georgia"/>
          <w:sz w:val="22"/>
          <w:szCs w:val="22"/>
        </w:rPr>
        <w:t xml:space="preserve">Se detecta un codo en R(ν) alrededor de ν ≈ 10⁻⁵ – 10⁻⁷: por debajo de ese umbral, la resistencia del sistema a la concentración pasa de grande a exponencialmente grande. Esto coincide con la transición del régimen viscoso al régimen inercial de la turbulencia.</w:t>
      </w:r>
    </w:p>
    <w:p>
      <w:pPr>
        <w:pStyle w:val="Heading1"/>
        <w:spacing w:before="360" w:after="160"/>
      </w:pPr>
      <w:r>
        <w:rPr>
          <w:rFonts w:ascii="Arial" w:cs="Arial" w:eastAsia="Arial" w:hAnsi="Arial"/>
          <w:b/>
          <w:bCs/>
          <w:sz w:val="32"/>
          <w:szCs w:val="32"/>
        </w:rPr>
        <w:t xml:space="preserve">5. Significado</w:t>
      </w:r>
    </w:p>
    <w:p>
      <w:pPr>
        <w:pStyle w:val="Heading2"/>
        <w:spacing w:before="240" w:after="160"/>
      </w:pPr>
      <w:r>
        <w:rPr>
          <w:rFonts w:ascii="Arial" w:cs="Arial" w:eastAsia="Arial" w:hAnsi="Arial"/>
          <w:b/>
          <w:bCs/>
          <w:sz w:val="26"/>
          <w:szCs w:val="26"/>
        </w:rPr>
        <w:t xml:space="preserve">5.1  Para la conjetura de Navier-Stokes</w:t>
      </w:r>
    </w:p>
    <w:p>
      <w:pPr>
        <w:spacing w:after="140" w:line="300"/>
        <w:jc w:val="both"/>
      </w:pPr>
      <w:r>
        <w:rPr>
          <w:rFonts w:ascii="Georgia" w:cs="Georgia" w:eastAsia="Georgia" w:hAnsi="Georgia"/>
          <w:sz w:val="22"/>
          <w:szCs w:val="22"/>
        </w:rPr>
        <w:t xml:space="preserve">El blow-up es una concentración espontánea: la propia dinámica del fluido, sin ayuda externa, acumularía energía infinita en un punto. Lo que hemos medido es el coste de forzar esa concentración </w:t>
      </w:r>
      <w:r>
        <w:rPr>
          <w:rFonts w:ascii="Georgia" w:cs="Georgia" w:eastAsia="Georgia" w:hAnsi="Georgia"/>
          <w:i/>
          <w:iCs/>
          <w:sz w:val="22"/>
          <w:szCs w:val="22"/>
        </w:rPr>
        <w:t xml:space="preserve">con</w:t>
      </w:r>
      <w:r>
        <w:rPr>
          <w:rFonts w:ascii="Georgia" w:cs="Georgia" w:eastAsia="Georgia" w:hAnsi="Georgia"/>
          <w:sz w:val="22"/>
          <w:szCs w:val="22"/>
        </w:rPr>
        <w:t xml:space="preserve"> ayuda externa. Y el resultado es que, incluso con ayuda, cuesta millones de veces más que cualquier otra cosa que el sistema haga.</w:t>
      </w:r>
    </w:p>
    <w:p>
      <w:pPr>
        <w:spacing w:after="140" w:line="300"/>
        <w:ind w:firstLine="360"/>
        <w:jc w:val="both"/>
      </w:pPr>
      <w:r>
        <w:rPr>
          <w:rFonts w:ascii="Georgia" w:cs="Georgia" w:eastAsia="Georgia" w:hAnsi="Georgia"/>
          <w:sz w:val="22"/>
          <w:szCs w:val="22"/>
        </w:rPr>
        <w:t xml:space="preserve">La analogía es precisa: imagine un río que baja por una montaña. Pretendemos que el agua suba sola hasta la cumbre (blow-up espontáneo). Antes de decidir si es posible, medimos cuánto costaría bombearla. Resultado: bombearla cuesta millones de veces más energía que la que el río disipa al bajar. ¿Puede el agua subir sola? No está demostrado que no pueda. Pero si lo hiciera, estaría haciendo gratis algo que, cuando se intenta forzar, resulta ser lo más caro del sistema.</w:t>
      </w:r>
    </w:p>
    <w:p>
      <w:pPr>
        <w:spacing w:after="140" w:line="300"/>
        <w:jc w:val="both"/>
      </w:pPr>
      <w:r>
        <w:rPr>
          <w:rFonts w:ascii="Georgia" w:cs="Georgia" w:eastAsia="Georgia" w:hAnsi="Georgia"/>
          <w:sz w:val="22"/>
          <w:szCs w:val="22"/>
        </w:rPr>
        <w:t xml:space="preserve">El codo detectado en ν ≈ 10⁻⁵ – 10⁻⁷ añade un matiz importante: a medida que la viscosidad disminuye (y la turbulencia se intensifica), la concentración no se hace más fácil —como podría esperarse si la cascada la favoreciera— sino </w:t>
      </w:r>
      <w:r>
        <w:rPr>
          <w:rFonts w:ascii="Georgia" w:cs="Georgia" w:eastAsia="Georgia" w:hAnsi="Georgia"/>
          <w:b/>
          <w:bCs/>
          <w:sz w:val="22"/>
          <w:szCs w:val="22"/>
        </w:rPr>
        <w:t xml:space="preserve">exponencialmente más difícil</w:t>
      </w:r>
      <w:r>
        <w:rPr>
          <w:rFonts w:ascii="Georgia" w:cs="Georgia" w:eastAsia="Georgia" w:hAnsi="Georgia"/>
          <w:sz w:val="22"/>
          <w:szCs w:val="22"/>
        </w:rPr>
        <w:t xml:space="preserve">. La cascada no es un aliado del blow-up. Es su mayor obstáculo.</w:t>
      </w:r>
    </w:p>
    <w:p>
      <w:pPr>
        <w:pStyle w:val="Heading2"/>
        <w:spacing w:before="240" w:after="160"/>
      </w:pPr>
      <w:r>
        <w:rPr>
          <w:rFonts w:ascii="Arial" w:cs="Arial" w:eastAsia="Arial" w:hAnsi="Arial"/>
          <w:b/>
          <w:bCs/>
          <w:sz w:val="26"/>
          <w:szCs w:val="26"/>
        </w:rPr>
        <w:t xml:space="preserve">5.2  Qué no demuestran estos resultados</w:t>
      </w:r>
    </w:p>
    <w:p>
      <w:pPr>
        <w:spacing w:after="140" w:line="300"/>
        <w:jc w:val="both"/>
      </w:pPr>
      <w:r>
        <w:rPr>
          <w:rFonts w:ascii="Georgia" w:cs="Georgia" w:eastAsia="Georgia" w:hAnsi="Georgia"/>
          <w:sz w:val="22"/>
          <w:szCs w:val="22"/>
        </w:rPr>
        <w:t xml:space="preserve">No demuestran matemáticamente que el blow-up sea imposible. Los shell models son aproximaciones 1D del espectro de energía; no capturan la geometría tridimensional completa. Es concebible que exista un mecanismo geométrico 3D que permita la concentración a bajo coste, invisible para estos modelos.</w:t>
      </w:r>
    </w:p>
    <w:p>
      <w:pPr>
        <w:spacing w:after="140" w:line="300"/>
        <w:jc w:val="both"/>
      </w:pPr>
      <w:r>
        <w:rPr>
          <w:rFonts w:ascii="Georgia" w:cs="Georgia" w:eastAsia="Georgia" w:hAnsi="Georgia"/>
          <w:sz w:val="22"/>
          <w:szCs w:val="22"/>
        </w:rPr>
        <w:t xml:space="preserve">Lo que sí establecen es una </w:t>
      </w:r>
      <w:r>
        <w:rPr>
          <w:rFonts w:ascii="Georgia" w:cs="Georgia" w:eastAsia="Georgia" w:hAnsi="Georgia"/>
          <w:b/>
          <w:bCs/>
          <w:sz w:val="22"/>
          <w:szCs w:val="22"/>
        </w:rPr>
        <w:t xml:space="preserve">asimetría energética robusta</w:t>
      </w:r>
      <w:r>
        <w:rPr>
          <w:rFonts w:ascii="Georgia" w:cs="Georgia" w:eastAsia="Georgia" w:hAnsi="Georgia"/>
          <w:sz w:val="22"/>
          <w:szCs w:val="22"/>
        </w:rPr>
        <w:t xml:space="preserve">: en todo modelo no lineal testado, con cascada de energía, la concentración forzada cuesta órdenes de magnitud más que la redistribución libre. Cualquier demostración futura de blow-up tendría que explicar cómo el sistema evade esta asimetría.</w:t>
      </w:r>
    </w:p>
    <w:p>
      <w:r>
        <w:br w:type="page"/>
      </w:r>
    </w:p>
    <w:p>
      <w:pPr>
        <w:pStyle w:val="Heading2"/>
        <w:spacing w:before="240" w:after="160"/>
      </w:pPr>
      <w:r>
        <w:rPr>
          <w:rFonts w:ascii="Arial" w:cs="Arial" w:eastAsia="Arial" w:hAnsi="Arial"/>
          <w:b/>
          <w:bCs/>
          <w:sz w:val="26"/>
          <w:szCs w:val="26"/>
        </w:rPr>
        <w:t xml:space="preserve">5.3  Un principio más general</w:t>
      </w:r>
    </w:p>
    <w:p>
      <w:pPr>
        <w:spacing w:after="140" w:line="300"/>
        <w:jc w:val="both"/>
      </w:pPr>
      <w:r>
        <w:rPr>
          <w:rFonts w:ascii="Georgia" w:cs="Georgia" w:eastAsia="Georgia" w:hAnsi="Georgia"/>
          <w:sz w:val="22"/>
          <w:szCs w:val="22"/>
        </w:rPr>
        <w:t xml:space="preserve">El PCC trasciende la mecánica de fluidos porque no depende de las ecuaciones de Navier-Stokes en particular. Depende de tres ingredientes que aparecen en sistemas muy diversos: </w:t>
      </w:r>
      <w:r>
        <w:rPr>
          <w:rFonts w:ascii="Georgia" w:cs="Georgia" w:eastAsia="Georgia" w:hAnsi="Georgia"/>
          <w:sz w:val="22"/>
          <w:szCs w:val="22"/>
        </w:rPr>
        <w:t xml:space="preserve">elementos que interactúan localmente, flujo de energía (o información, o recursos) entre escalas, y tendencia natural a la redistribución. Esto permite formular predicciones cuantitativas falsables en otros campos:</w:t>
      </w:r>
    </w:p>
    <w:p>
      <w:pPr>
        <w:pStyle w:val="Heading1"/>
        <w:spacing w:before="360" w:after="160"/>
      </w:pPr>
      <w:r>
        <w:rPr>
          <w:rFonts w:ascii="Arial" w:cs="Arial" w:eastAsia="Arial" w:hAnsi="Arial"/>
          <w:b/>
          <w:bCs/>
          <w:sz w:val="32"/>
          <w:szCs w:val="32"/>
        </w:rPr>
        <w:t xml:space="preserve">6. Aplicaciones transversales</w:t>
      </w:r>
    </w:p>
    <w:p>
      <w:pPr>
        <w:pStyle w:val="Heading2"/>
        <w:spacing w:before="240" w:after="160"/>
      </w:pPr>
      <w:r>
        <w:rPr>
          <w:rFonts w:ascii="Arial" w:cs="Arial" w:eastAsia="Arial" w:hAnsi="Arial"/>
          <w:b/>
          <w:bCs/>
          <w:sz w:val="26"/>
          <w:szCs w:val="26"/>
        </w:rPr>
        <w:t xml:space="preserve">6.1  Economía: intervenciones cambiarias</w:t>
      </w:r>
    </w:p>
    <w:p>
      <w:pPr>
        <w:spacing w:after="140" w:line="300"/>
        <w:jc w:val="both"/>
      </w:pPr>
      <w:r>
        <w:rPr>
          <w:rFonts w:ascii="Georgia" w:cs="Georgia" w:eastAsia="Georgia" w:hAnsi="Georgia"/>
          <w:sz w:val="22"/>
          <w:szCs w:val="22"/>
        </w:rPr>
        <w:t xml:space="preserve">Un banco central que defiende un tipo de cambio fijo está en Modo A: inyecta reservas para mantener una distribución artificial de precios. El mercado libre es el Modo B. </w:t>
      </w:r>
      <w:r>
        <w:rPr>
          <w:rFonts w:ascii="Georgia" w:cs="Georgia" w:eastAsia="Georgia" w:hAnsi="Georgia"/>
          <w:b/>
          <w:bCs/>
          <w:sz w:val="22"/>
          <w:szCs w:val="22"/>
        </w:rPr>
        <w:t xml:space="preserve">Predicción falsable: </w:t>
      </w:r>
      <w:r>
        <w:rPr>
          <w:rFonts w:ascii="Georgia" w:cs="Georgia" w:eastAsia="Georgia" w:hAnsi="Georgia"/>
          <w:sz w:val="22"/>
          <w:szCs w:val="22"/>
        </w:rPr>
        <w:t xml:space="preserve">el coste de la intervención (reservas gastadas por día) crece con la liquidez del mercado. En mercados muy líquidos (alto ν), sostener un tipo de cambio artificial es exponencialmente más caro que en mercados ilíquidos. Contrastable con datos públicos del Banco de Japón (2022-2024) o del Banco Nacional Suizo (2011-2015).</w:t>
      </w:r>
    </w:p>
    <w:p>
      <w:pPr>
        <w:pStyle w:val="Heading2"/>
        <w:spacing w:before="240" w:after="160"/>
      </w:pPr>
      <w:r>
        <w:rPr>
          <w:rFonts w:ascii="Arial" w:cs="Arial" w:eastAsia="Arial" w:hAnsi="Arial"/>
          <w:b/>
          <w:bCs/>
          <w:sz w:val="26"/>
          <w:szCs w:val="26"/>
        </w:rPr>
        <w:t xml:space="preserve">6.2  Neurociencia: coste metabólico de la atención</w:t>
      </w:r>
    </w:p>
    <w:p>
      <w:pPr>
        <w:spacing w:after="140" w:line="300"/>
        <w:jc w:val="both"/>
      </w:pPr>
      <w:r>
        <w:rPr>
          <w:rFonts w:ascii="Georgia" w:cs="Georgia" w:eastAsia="Georgia" w:hAnsi="Georgia"/>
          <w:sz w:val="22"/>
          <w:szCs w:val="22"/>
        </w:rPr>
        <w:t xml:space="preserve">La atención sostenida concentra actividad neural en áreas específicas (Modo A). La actividad distribuida en reposo es el Modo B. </w:t>
      </w:r>
      <w:r>
        <w:rPr>
          <w:rFonts w:ascii="Georgia" w:cs="Georgia" w:eastAsia="Georgia" w:hAnsi="Georgia"/>
          <w:b/>
          <w:bCs/>
          <w:sz w:val="22"/>
          <w:szCs w:val="22"/>
        </w:rPr>
        <w:t xml:space="preserve">Predicción: </w:t>
      </w:r>
      <w:r>
        <w:rPr>
          <w:rFonts w:ascii="Georgia" w:cs="Georgia" w:eastAsia="Georgia" w:hAnsi="Georgia"/>
          <w:sz w:val="22"/>
          <w:szCs w:val="22"/>
        </w:rPr>
        <w:t xml:space="preserve">el coste metabólico de mantener un foco de atención crece con la conectividad del tejido neural. Los focos epilépticos (concentración patológica) en tejido altamente conectado deberían consumir energía desproporcionada respecto al metabolismo basal.</w:t>
      </w:r>
    </w:p>
    <w:p>
      <w:pPr>
        <w:pStyle w:val="Heading2"/>
        <w:spacing w:before="240" w:after="160"/>
      </w:pPr>
      <w:r>
        <w:rPr>
          <w:rFonts w:ascii="Arial" w:cs="Arial" w:eastAsia="Arial" w:hAnsi="Arial"/>
          <w:b/>
          <w:bCs/>
          <w:sz w:val="26"/>
          <w:szCs w:val="26"/>
        </w:rPr>
        <w:t xml:space="preserve">6.3  Ecología: monocultivos vs biodiversidad</w:t>
      </w:r>
    </w:p>
    <w:p>
      <w:pPr>
        <w:spacing w:after="140" w:line="300"/>
        <w:jc w:val="both"/>
      </w:pPr>
      <w:r>
        <w:rPr>
          <w:rFonts w:ascii="Georgia" w:cs="Georgia" w:eastAsia="Georgia" w:hAnsi="Georgia"/>
          <w:sz w:val="22"/>
          <w:szCs w:val="22"/>
        </w:rPr>
        <w:t xml:space="preserve">El monocultivo concentra biomasa en una especie (Modo A). El ecosistema diverso se sostiene solo (Modo B). </w:t>
      </w:r>
      <w:r>
        <w:rPr>
          <w:rFonts w:ascii="Georgia" w:cs="Georgia" w:eastAsia="Georgia" w:hAnsi="Georgia"/>
          <w:b/>
          <w:bCs/>
          <w:sz w:val="22"/>
          <w:szCs w:val="22"/>
        </w:rPr>
        <w:t xml:space="preserve">Predicción: </w:t>
      </w:r>
      <w:r>
        <w:rPr>
          <w:rFonts w:ascii="Georgia" w:cs="Georgia" w:eastAsia="Georgia" w:hAnsi="Georgia"/>
          <w:sz w:val="22"/>
          <w:szCs w:val="22"/>
        </w:rPr>
        <w:t xml:space="preserve">los inputs necesarios (pesticidas, fertilizantes) crecen con la complejidad del ecosistema subyacente. Cuantas más interacciones tróficas existan (mayor ν), más cuesta mantener el monocultivo.</w:t>
      </w:r>
    </w:p>
    <w:p>
      <w:pPr>
        <w:pStyle w:val="Heading2"/>
        <w:spacing w:before="240" w:after="160"/>
      </w:pPr>
      <w:r>
        <w:rPr>
          <w:rFonts w:ascii="Arial" w:cs="Arial" w:eastAsia="Arial" w:hAnsi="Arial"/>
          <w:b/>
          <w:bCs/>
          <w:sz w:val="26"/>
          <w:szCs w:val="26"/>
        </w:rPr>
        <w:t xml:space="preserve">6.4  Redes de comunicación: ataques DDoS</w:t>
      </w:r>
    </w:p>
    <w:p>
      <w:pPr>
        <w:spacing w:after="140" w:line="300"/>
        <w:jc w:val="both"/>
      </w:pPr>
      <w:r>
        <w:rPr>
          <w:rFonts w:ascii="Georgia" w:cs="Georgia" w:eastAsia="Georgia" w:hAnsi="Georgia"/>
          <w:sz w:val="22"/>
          <w:szCs w:val="22"/>
        </w:rPr>
        <w:t xml:space="preserve">Un ataque DDoS concentra tráfico en un nodo (Modo A). La redistribución natural del tráfico es el Modo B. </w:t>
      </w:r>
      <w:r>
        <w:rPr>
          <w:rFonts w:ascii="Georgia" w:cs="Georgia" w:eastAsia="Georgia" w:hAnsi="Georgia"/>
          <w:b/>
          <w:bCs/>
          <w:sz w:val="22"/>
          <w:szCs w:val="22"/>
        </w:rPr>
        <w:t xml:space="preserve">Predicción: </w:t>
      </w:r>
      <w:r>
        <w:rPr>
          <w:rFonts w:ascii="Georgia" w:cs="Georgia" w:eastAsia="Georgia" w:hAnsi="Georgia"/>
          <w:sz w:val="22"/>
          <w:szCs w:val="22"/>
        </w:rPr>
        <w:t xml:space="preserve">en redes más malladas, el coste de mantener la concentración crece más rápido que el coste de la defensa, porque la defensa trabaja a favor de la redistribución natural.</w:t>
      </w:r>
    </w:p>
    <w:p>
      <w:pPr>
        <w:pStyle w:val="Heading2"/>
        <w:spacing w:before="240" w:after="160"/>
      </w:pPr>
      <w:r>
        <w:rPr>
          <w:rFonts w:ascii="Arial" w:cs="Arial" w:eastAsia="Arial" w:hAnsi="Arial"/>
          <w:b/>
          <w:bCs/>
          <w:sz w:val="26"/>
          <w:szCs w:val="26"/>
        </w:rPr>
        <w:t xml:space="preserve">6.5  Sociología: consenso forzado en redes</w:t>
      </w:r>
    </w:p>
    <w:p>
      <w:pPr>
        <w:spacing w:after="140" w:line="300"/>
        <w:jc w:val="both"/>
      </w:pPr>
      <w:r>
        <w:rPr>
          <w:rFonts w:ascii="Georgia" w:cs="Georgia" w:eastAsia="Georgia" w:hAnsi="Georgia"/>
          <w:sz w:val="22"/>
          <w:szCs w:val="22"/>
        </w:rPr>
        <w:t xml:space="preserve">Mantener una opinión uniforme en una red social (Modo A) contra la diversidad natural (Modo B). </w:t>
      </w:r>
      <w:r>
        <w:rPr>
          <w:rFonts w:ascii="Georgia" w:cs="Georgia" w:eastAsia="Georgia" w:hAnsi="Georgia"/>
          <w:b/>
          <w:bCs/>
          <w:sz w:val="22"/>
          <w:szCs w:val="22"/>
        </w:rPr>
        <w:t xml:space="preserve">Predicción: </w:t>
      </w:r>
      <w:r>
        <w:rPr>
          <w:rFonts w:ascii="Georgia" w:cs="Georgia" w:eastAsia="Georgia" w:hAnsi="Georgia"/>
          <w:sz w:val="22"/>
          <w:szCs w:val="22"/>
        </w:rPr>
        <w:t xml:space="preserve">el coste de la propaganda crece con la conectividad de la red. En redes poco conectadas (p &lt; 0.1) puede ser barato; en redes altamente conectadas se vuelve prohibitivo. La historia de la censura en Internet ilustra este escalado.</w:t>
      </w:r>
    </w:p>
    <w:p>
      <w:pPr>
        <w:spacing w:after="80"/>
      </w:pPr>
    </w:p>
    <w:p>
      <w:pPr>
        <w:spacing w:after="140" w:line="300"/>
        <w:jc w:val="both"/>
      </w:pPr>
      <w:r>
        <w:rPr>
          <w:rFonts w:ascii="Georgia" w:cs="Georgia" w:eastAsia="Georgia" w:hAnsi="Georgia"/>
          <w:sz w:val="22"/>
          <w:szCs w:val="22"/>
        </w:rPr>
        <w:t xml:space="preserve">En todos los casos, la predicción es la misma: </w:t>
      </w:r>
      <w:r>
        <w:rPr>
          <w:rFonts w:ascii="Georgia" w:cs="Georgia" w:eastAsia="Georgia" w:hAnsi="Georgia"/>
          <w:b/>
          <w:bCs/>
          <w:sz w:val="22"/>
          <w:szCs w:val="22"/>
        </w:rPr>
        <w:t xml:space="preserve">el coste de mantener una distribución antinatural crece con la velocidad de redistribución del sistema.</w:t>
      </w:r>
      <w:r>
        <w:rPr>
          <w:rFonts w:ascii="Georgia" w:cs="Georgia" w:eastAsia="Georgia" w:hAnsi="Georgia"/>
          <w:sz w:val="22"/>
          <w:szCs w:val="22"/>
        </w:rPr>
        <w:t xml:space="preserve"> Esto no es una metáfora: es una ley de escala cuantitativa derivada de los mismos mecanismos que operan en la cascada turbulenta.</w:t>
      </w:r>
    </w:p>
    <w:p>
      <w:pPr>
        <w:pStyle w:val="Heading1"/>
        <w:spacing w:before="360" w:after="160"/>
      </w:pPr>
      <w:r>
        <w:rPr>
          <w:rFonts w:ascii="Arial" w:cs="Arial" w:eastAsia="Arial" w:hAnsi="Arial"/>
          <w:b/>
          <w:bCs/>
          <w:sz w:val="32"/>
          <w:szCs w:val="32"/>
        </w:rPr>
        <w:t xml:space="preserve">7. Condiciones de falsación</w:t>
      </w:r>
    </w:p>
    <w:p>
      <w:pPr>
        <w:spacing w:after="140" w:line="300"/>
        <w:jc w:val="both"/>
      </w:pPr>
      <w:r>
        <w:rPr>
          <w:rFonts w:ascii="Georgia" w:cs="Georgia" w:eastAsia="Georgia" w:hAnsi="Georgia"/>
          <w:sz w:val="22"/>
          <w:szCs w:val="22"/>
        </w:rPr>
        <w:t xml:space="preserve">El PCC quedaría refutado si se encontrara cualquiera de las siguientes condiciones:</w:t>
      </w:r>
    </w:p>
    <w:p>
      <w:pPr>
        <w:spacing w:after="140" w:line="300"/>
        <w:jc w:val="both"/>
      </w:pPr>
      <w:r>
        <w:rPr>
          <w:rFonts w:ascii="Georgia" w:cs="Georgia" w:eastAsia="Georgia" w:hAnsi="Georgia"/>
          <w:b/>
          <w:bCs/>
          <w:sz w:val="22"/>
          <w:szCs w:val="22"/>
        </w:rPr>
        <w:t xml:space="preserve">F1. </w:t>
      </w:r>
      <w:r>
        <w:rPr>
          <w:rFonts w:ascii="Georgia" w:cs="Georgia" w:eastAsia="Georgia" w:hAnsi="Georgia"/>
          <w:sz w:val="22"/>
          <w:szCs w:val="22"/>
        </w:rPr>
        <w:t xml:space="preserve">Un modelo no lineal con cascada de energía donde la ratio R ≤ 1 de forma estable para algún ν.</w:t>
      </w:r>
    </w:p>
    <w:p>
      <w:pPr>
        <w:spacing w:after="140" w:line="300"/>
        <w:jc w:val="both"/>
      </w:pPr>
      <w:r>
        <w:rPr>
          <w:rFonts w:ascii="Georgia" w:cs="Georgia" w:eastAsia="Georgia" w:hAnsi="Georgia"/>
          <w:b/>
          <w:bCs/>
          <w:sz w:val="22"/>
          <w:szCs w:val="22"/>
        </w:rPr>
        <w:t xml:space="preserve">F2. </w:t>
      </w:r>
      <w:r>
        <w:rPr>
          <w:rFonts w:ascii="Georgia" w:cs="Georgia" w:eastAsia="Georgia" w:hAnsi="Georgia"/>
          <w:sz w:val="22"/>
          <w:szCs w:val="22"/>
        </w:rPr>
        <w:t xml:space="preserve">Un sistema físico donde la concentración espontánea de energía ocurra sin aporte externo y persista en estado estacionario.</w:t>
      </w:r>
    </w:p>
    <w:p>
      <w:pPr>
        <w:spacing w:after="140" w:line="300"/>
        <w:jc w:val="both"/>
      </w:pPr>
      <w:r>
        <w:rPr>
          <w:rFonts w:ascii="Georgia" w:cs="Georgia" w:eastAsia="Georgia" w:hAnsi="Georgia"/>
          <w:b/>
          <w:bCs/>
          <w:sz w:val="22"/>
          <w:szCs w:val="22"/>
        </w:rPr>
        <w:t xml:space="preserve">F3. </w:t>
      </w:r>
      <w:r>
        <w:rPr>
          <w:rFonts w:ascii="Georgia" w:cs="Georgia" w:eastAsia="Georgia" w:hAnsi="Georgia"/>
          <w:sz w:val="22"/>
          <w:szCs w:val="22"/>
        </w:rPr>
        <w:t xml:space="preserve">Una demostración matemática de que el término no lineal puede generar concentración a coste energético menor que la disipación viscosa.</w:t>
      </w:r>
    </w:p>
    <w:p>
      <w:pPr>
        <w:spacing w:after="140" w:line="300"/>
        <w:jc w:val="both"/>
      </w:pPr>
      <w:r>
        <w:rPr>
          <w:rFonts w:ascii="Georgia" w:cs="Georgia" w:eastAsia="Georgia" w:hAnsi="Georgia"/>
          <w:b/>
          <w:bCs/>
          <w:sz w:val="22"/>
          <w:szCs w:val="22"/>
        </w:rPr>
        <w:t xml:space="preserve">F4. </w:t>
      </w:r>
      <w:r>
        <w:rPr>
          <w:rFonts w:ascii="Georgia" w:cs="Georgia" w:eastAsia="Georgia" w:hAnsi="Georgia"/>
          <w:sz w:val="22"/>
          <w:szCs w:val="22"/>
        </w:rPr>
        <w:t xml:space="preserve">Datos empíricos en un campo transversal donde el coste de mantener una distribución concentrada sea comparable al de la distribución libre, en un sistema con alta conectividad.</w:t>
      </w:r>
    </w:p>
    <w:p>
      <w:pPr>
        <w:spacing w:after="140" w:line="300"/>
        <w:jc w:val="both"/>
      </w:pPr>
      <w:r>
        <w:rPr>
          <w:rFonts w:ascii="Georgia" w:cs="Georgia" w:eastAsia="Georgia" w:hAnsi="Georgia"/>
          <w:sz w:val="22"/>
          <w:szCs w:val="22"/>
        </w:rPr>
        <w:t xml:space="preserve">Ninguna de estas condiciones se ha observado.</w:t>
      </w:r>
    </w:p>
    <w:p>
      <w:pPr>
        <w:pStyle w:val="Heading1"/>
        <w:spacing w:before="360" w:after="160"/>
      </w:pPr>
      <w:r>
        <w:rPr>
          <w:rFonts w:ascii="Arial" w:cs="Arial" w:eastAsia="Arial" w:hAnsi="Arial"/>
          <w:b/>
          <w:bCs/>
          <w:sz w:val="32"/>
          <w:szCs w:val="32"/>
        </w:rPr>
        <w:t xml:space="preserve">8. Trabajo futuro</w:t>
      </w:r>
    </w:p>
    <w:p>
      <w:pPr>
        <w:spacing w:after="140" w:line="300"/>
        <w:jc w:val="both"/>
      </w:pPr>
      <w:r>
        <w:rPr>
          <w:rFonts w:ascii="Georgia" w:cs="Georgia" w:eastAsia="Georgia" w:hAnsi="Georgia"/>
          <w:b/>
          <w:bCs/>
          <w:sz w:val="22"/>
          <w:szCs w:val="22"/>
        </w:rPr>
        <w:t xml:space="preserve">(a) Calibración empírica. </w:t>
      </w:r>
      <w:r>
        <w:rPr>
          <w:rFonts w:ascii="Georgia" w:cs="Georgia" w:eastAsia="Georgia" w:hAnsi="Georgia"/>
          <w:sz w:val="22"/>
          <w:szCs w:val="22"/>
        </w:rPr>
        <w:t xml:space="preserve">Las intervenciones cambiarias del Banco de Japón ofrecen datos públicos para contrastar la predicción R &gt;&gt; 1 en función de la liquidez.</w:t>
      </w:r>
    </w:p>
    <w:p>
      <w:pPr>
        <w:spacing w:after="140" w:line="300"/>
        <w:jc w:val="both"/>
      </w:pPr>
      <w:r>
        <w:rPr>
          <w:rFonts w:ascii="Georgia" w:cs="Georgia" w:eastAsia="Georgia" w:hAnsi="Georgia"/>
          <w:b/>
          <w:bCs/>
          <w:sz w:val="22"/>
          <w:szCs w:val="22"/>
        </w:rPr>
        <w:t xml:space="preserve">(b) Simulación directa. </w:t>
      </w:r>
      <w:r>
        <w:rPr>
          <w:rFonts w:ascii="Georgia" w:cs="Georgia" w:eastAsia="Georgia" w:hAnsi="Georgia"/>
          <w:sz w:val="22"/>
          <w:szCs w:val="22"/>
        </w:rPr>
        <w:t xml:space="preserve">Replicar el protocolo Modo A / Modo B en DNS (simulación numérica directa de Navier-Stokes 3D).</w:t>
      </w:r>
    </w:p>
    <w:p>
      <w:pPr>
        <w:spacing w:after="140" w:line="300"/>
        <w:jc w:val="both"/>
      </w:pPr>
      <w:r>
        <w:rPr>
          <w:rFonts w:ascii="Georgia" w:cs="Georgia" w:eastAsia="Georgia" w:hAnsi="Georgia"/>
          <w:b/>
          <w:bCs/>
          <w:sz w:val="22"/>
          <w:szCs w:val="22"/>
        </w:rPr>
        <w:t xml:space="preserve">(c) Ley de escala. </w:t>
      </w:r>
      <w:r>
        <w:rPr>
          <w:rFonts w:ascii="Georgia" w:cs="Georgia" w:eastAsia="Georgia" w:hAnsi="Georgia"/>
          <w:sz w:val="22"/>
          <w:szCs w:val="22"/>
        </w:rPr>
        <w:t xml:space="preserve">Los datos sugieren R(ν) ~ ν⁻ᵅ con α entre 0.5 y 1.2. Derivar este exponente desde primeros principios conectaría el PCC con la teoría de Kolmogorov.</w:t>
      </w:r>
    </w:p>
    <w:p>
      <w:pPr>
        <w:spacing w:after="80"/>
      </w:pPr>
    </w:p>
    <w:p>
      <w:pPr>
        <w:pBdr>
          <w:top w:val="single" w:color="2C3E50" w:sz="6" w:space="8"/>
        </w:pBdr>
        <w:spacing w:before="400"/>
      </w:pPr>
    </w:p>
    <w:p>
      <w:pPr>
        <w:spacing w:after="140" w:line="300"/>
        <w:jc w:val="center"/>
      </w:pPr>
      <w:r>
        <w:rPr>
          <w:rFonts w:ascii="Georgia" w:cs="Georgia" w:eastAsia="Georgia" w:hAnsi="Georgia"/>
          <w:i/>
          <w:iCs/>
          <w:sz w:val="22"/>
          <w:szCs w:val="22"/>
        </w:rPr>
        <w:t xml:space="preserve">Repositorio: </w:t>
      </w:r>
      <w:r>
        <w:rPr>
          <w:rFonts w:ascii="Georgia" w:cs="Georgia" w:eastAsia="Georgia" w:hAnsi="Georgia"/>
          <w:sz w:val="22"/>
          <w:szCs w:val="22"/>
        </w:rPr>
        <w:t xml:space="preserve">github.com/Diego-dcv/turbulence-is-free</w:t>
      </w:r>
    </w:p>
    <w:p>
      <w:pPr>
        <w:spacing w:after="140" w:line="300"/>
        <w:jc w:val="center"/>
      </w:pPr>
      <w:r>
        <w:rPr>
          <w:rFonts w:ascii="Georgia" w:cs="Georgia" w:eastAsia="Georgia" w:hAnsi="Georgia"/>
          <w:i/>
          <w:iCs/>
          <w:sz w:val="22"/>
          <w:szCs w:val="22"/>
        </w:rPr>
        <w:t xml:space="preserve">Licencia: CC BY 4.0  ·  DOI: 10.5281/zenodo.18733970</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2026-02-22T21:18:33.866Z</dcterms:created>
  <dcterms:modified xsi:type="dcterms:W3CDTF">2026-02-22T21:18:33.867Z</dcterms:modified>
</cp:coreProperties>
</file>

<file path=docProps/custom.xml><?xml version="1.0" encoding="utf-8"?>
<Properties xmlns="http://schemas.openxmlformats.org/officeDocument/2006/custom-properties" xmlns:vt="http://schemas.openxmlformats.org/officeDocument/2006/docPropsVTypes"/>
</file>