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b w:val="1"/>
          <w:sz w:val="96"/>
          <w:rtl w:val="0"/>
        </w:rPr>
        <w:t xml:space="preserve">FrozenWars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48"/>
          <w:rtl w:val="0"/>
        </w:rPr>
        <w:t xml:space="preserve">Índice de casos de uso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u w:val="single"/>
          <w:rtl w:val="0"/>
        </w:rPr>
        <w:t xml:space="preserve">Fecha:</w:t>
      </w:r>
      <w:r w:rsidRPr="00000000" w:rsidR="00000000" w:rsidDel="00000000">
        <w:rPr>
          <w:b w:val="1"/>
          <w:rtl w:val="0"/>
        </w:rPr>
        <w:t xml:space="preserve"> 17/12/12</w:t>
      </w:r>
    </w:p>
    <w:p w:rsidP="00000000" w:rsidRPr="00000000" w:rsidR="00000000" w:rsidDel="00000000" w:rsidRDefault="00000000">
      <w:pPr>
        <w:ind w:right="160"/>
      </w:pPr>
      <w:r w:rsidRPr="00000000" w:rsidR="00000000" w:rsidDel="00000000">
        <w:rPr>
          <w:b w:val="1"/>
          <w:u w:val="single"/>
          <w:rtl w:val="0"/>
        </w:rPr>
        <w:t xml:space="preserve">Autor:</w:t>
      </w:r>
      <w:r w:rsidRPr="00000000" w:rsidR="00000000" w:rsidDel="00000000">
        <w:rPr>
          <w:b w:val="1"/>
          <w:rtl w:val="0"/>
        </w:rPr>
        <w:t xml:space="preserve"> Federico García Ávila</w:t>
      </w:r>
      <w:r w:rsidRPr="00000000" w:rsidR="00000000" w:rsidDel="00000000">
        <w:rPr>
          <w:b w:val="1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u w:val="single"/>
          <w:rtl w:val="0"/>
        </w:rPr>
        <w:t xml:space="preserve">Versión:</w:t>
      </w:r>
      <w:r w:rsidRPr="00000000" w:rsidR="00000000" w:rsidDel="00000000">
        <w:rPr>
          <w:b w:val="1"/>
          <w:rtl w:val="0"/>
        </w:rPr>
        <w:t xml:space="preserve"> 1.0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drawing>
          <wp:inline>
            <wp:extent cy="2648932" cx="6655324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2648932" cx="6655324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48"/>
          <w:u w:val="single"/>
          <w:rtl w:val="0"/>
        </w:rPr>
        <w:t xml:space="preserve">TABLA DE VERSIONES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tbl>
      <w:tblPr>
        <w:tblW w:w="468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430"/>
        <w:gridCol w:w="2250"/>
        <w:gridCol w:w="780"/>
        <w:gridCol w:w="780"/>
        <w:gridCol w:w="780"/>
        <w:gridCol w:w="780"/>
        <w:gridCol w:w="780"/>
        <w:gridCol w:w="7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sz w:val="36"/>
                <w:u w:val="single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sz w:val="36"/>
                <w:u w:val="single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sz w:val="36"/>
                <w:u w:val="single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sz w:val="36"/>
                <w:u w:val="single"/>
                <w:rtl w:val="0"/>
              </w:rPr>
              <w:t xml:space="preserve">Autor/es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21/01/13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v1.0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Creación del documento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Federico García Ávila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36"/>
          <w:u w:val="single"/>
          <w:rtl w:val="0"/>
        </w:rPr>
        <w:t xml:space="preserve">Descripción del documento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Este documento contiene un índice de acceso a todos los casos de uso que han sido creados para el desarrollo del proyecto e información acerca de la distribución de estos.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36"/>
          <w:u w:val="single"/>
          <w:rtl w:val="0"/>
        </w:rPr>
        <w:t xml:space="preserve">Índice de Acceso a Contenido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Generales de la aplicación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Iniciar la aplicación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</w:pP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Salir de la aplicación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Casos de uso de los menús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1440" w:hanging="359"/>
      </w:pP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Menú principal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1440" w:hanging="359"/>
      </w:pPr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Cambiar ajustes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hyperlink r:id="rId12">
        <w:r w:rsidRPr="00000000" w:rsidR="00000000" w:rsidDel="00000000">
          <w:rPr>
            <w:color w:val="1155cc"/>
            <w:u w:val="single"/>
            <w:rtl w:val="0"/>
          </w:rPr>
          <w:t xml:space="preserve">Casos de uso de las acciones del juego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</w:pPr>
      <w:hyperlink r:id="rId13">
        <w:r w:rsidRPr="00000000" w:rsidR="00000000" w:rsidDel="00000000">
          <w:rPr>
            <w:color w:val="1155cc"/>
            <w:u w:val="single"/>
            <w:rtl w:val="0"/>
          </w:rPr>
          <w:t xml:space="preserve">Mover jugador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</w:pPr>
      <w:hyperlink r:id="rId14">
        <w:r w:rsidRPr="00000000" w:rsidR="00000000" w:rsidDel="00000000">
          <w:rPr>
            <w:color w:val="1155cc"/>
            <w:u w:val="single"/>
            <w:rtl w:val="0"/>
          </w:rPr>
          <w:t xml:space="preserve">Poner arpón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</w:pPr>
      <w:hyperlink r:id="rId15">
        <w:r w:rsidRPr="00000000" w:rsidR="00000000" w:rsidDel="00000000">
          <w:rPr>
            <w:color w:val="1155cc"/>
            <w:u w:val="single"/>
            <w:rtl w:val="0"/>
          </w:rPr>
          <w:t xml:space="preserve">Explosión arpón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</w:pPr>
      <w:hyperlink r:id="rId16">
        <w:r w:rsidRPr="00000000" w:rsidR="00000000" w:rsidDel="00000000">
          <w:rPr>
            <w:color w:val="1155cc"/>
            <w:u w:val="single"/>
            <w:rtl w:val="0"/>
          </w:rPr>
          <w:t xml:space="preserve">Coger mejora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</w:pPr>
      <w:hyperlink r:id="rId17">
        <w:r w:rsidRPr="00000000" w:rsidR="00000000" w:rsidDel="00000000">
          <w:rPr>
            <w:color w:val="1155cc"/>
            <w:u w:val="single"/>
            <w:rtl w:val="0"/>
          </w:rPr>
          <w:t xml:space="preserve">Perder vida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</w:pPr>
      <w:hyperlink r:id="rId18">
        <w:r w:rsidRPr="00000000" w:rsidR="00000000" w:rsidDel="00000000">
          <w:rPr>
            <w:color w:val="1155cc"/>
            <w:u w:val="single"/>
            <w:rtl w:val="0"/>
          </w:rPr>
          <w:t xml:space="preserve">Finalizar partida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b w:val="1"/>
          <w:sz w:val="36"/>
          <w:u w:val="single"/>
          <w:rtl w:val="0"/>
        </w:rPr>
        <w:t xml:space="preserve">Descripción del Contenido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Información acerca de las secciones descritas en el índice de contenidos. Se han organizado así de forma que las diferentes partes de la implementación estén separadas en carpetas diferentes.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Generales de la aplicación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Contiene los casos de uso correspondientes a la aplicación en general, pero que no tienen que ver ni con los menus, ni el desarrollo del juego.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Menús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Contiene los casos de uso correspondientes únicamente a los menús.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sz w:val="32"/>
          <w:rtl w:val="0"/>
        </w:rPr>
        <w:t xml:space="preserve">Acciones del juego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Contiene los casos de uso correspondientes a todo lo que pasa una vez el usuario está dentro de la partida.</w:t>
      </w:r>
      <w:r w:rsidRPr="00000000" w:rsidR="00000000" w:rsidDel="00000000">
        <w:rPr>
          <w:rtl w:val="0"/>
        </w:rPr>
      </w:r>
    </w:p>
    <w:sectPr>
      <w:footerReference r:id="rId19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jc w:val="right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jc w:val="right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ind w:right="-824"/>
      <w:jc w:val="right"/>
    </w:pPr>
    <w:r w:rsidRPr="00000000" w:rsidR="00000000" w:rsidDel="00000000">
      <w:rPr>
        <w:rtl w:val="0"/>
      </w:rPr>
      <w:t xml:space="preserve">Índice de casos de uso. </w:t>
    </w: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  <w:t xml:space="preserve">/</w:t>
    </w:r>
    <w:fldSimple w:dirty="0" w:instr="NUMPAGES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3"/>
      <w:numFmt w:val="decimal"/>
      <w:lvlText w:val="%1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7200" w:firstLine="68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decimal"/>
      <w:lvlText w:val="%1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7200" w:firstLine="68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decimal"/>
      <w:lvlText w:val="%1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7200" w:firstLine="68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lvl w:ilvl="0">
      <w:start w:val="1"/>
      <w:numFmt w:val="decimal"/>
      <w:lvlText w:val="%1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7200" w:firstLine="68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lvl w:ilvl="0">
      <w:start w:val="2"/>
      <w:numFmt w:val="decimal"/>
      <w:lvlText w:val="%1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7200" w:firstLine="68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oter1.xml" Type="http://schemas.openxmlformats.org/officeDocument/2006/relationships/footer" Id="rId19"/><Relationship Target="https://docs.google.com/document/d/1Cw6cwAo1Cz34YZUaixZYESLzeLxi8VS1oVDZj3CI5mY/edit" Type="http://schemas.openxmlformats.org/officeDocument/2006/relationships/hyperlink" TargetMode="External" Id="rId18"/><Relationship Target="https://docs.google.com/document/d/1gQGDZKh4-yZkK6gGwil62ulunuB685maHKYO3z3eRTw/edit" Type="http://schemas.openxmlformats.org/officeDocument/2006/relationships/hyperlink" TargetMode="External" Id="rId17"/><Relationship Target="https://docs.google.com/document/d/1YOpUfYbqabZIaT6cKGCk46mI5hYDrUn8WKj9ltzC66A/edit" Type="http://schemas.openxmlformats.org/officeDocument/2006/relationships/hyperlink" TargetMode="External" Id="rId16"/><Relationship Target="https://docs.google.com/document/d/1ZAM3byfTKHtevoDuwx79-jigemJoei80_v6gCDaV5eY/edit" Type="http://schemas.openxmlformats.org/officeDocument/2006/relationships/hyperlink" TargetMode="External" Id="rId15"/><Relationship Target="https://docs.google.com/document/d/1K6bOv4wR2Luke8z9BJwp30ZbgNa9gVXDmrt2sTcb-fk/edit" Type="http://schemas.openxmlformats.org/officeDocument/2006/relationships/hyperlink" TargetMode="External" Id="rId14"/><Relationship Target="fontTable.xml" Type="http://schemas.openxmlformats.org/officeDocument/2006/relationships/fontTable" Id="rId2"/><Relationship Target="https://drive.google.com/?authuser=0#folders/0BwRUj9DWfmFmZXpVM0VuVzVrX2c" Type="http://schemas.openxmlformats.org/officeDocument/2006/relationships/hyperlink" TargetMode="External" Id="rId12"/><Relationship Target="settings.xml" Type="http://schemas.openxmlformats.org/officeDocument/2006/relationships/settings" Id="rId1"/><Relationship Target="https://docs.google.com/document/d/1oM06UFyzQ_BF8Bh-lAImDdKMZn5rjkrAfqT6JiMC4OU/edit" Type="http://schemas.openxmlformats.org/officeDocument/2006/relationships/hyperlink" TargetMode="External" Id="rId13"/><Relationship Target="styles.xml" Type="http://schemas.openxmlformats.org/officeDocument/2006/relationships/styles" Id="rId4"/><Relationship Target="https://docs.google.com/document/d/1cE5i3tt9HmYmD-Znm3MQwiTJp-QaC-syUza1wbCInnE/edit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s://docs.google.com/document/d/1X8Vh-DpjBb1izFwk3gX1ddTq5PR3207eVhm9buU9HQI/edit" Type="http://schemas.openxmlformats.org/officeDocument/2006/relationships/hyperlink" TargetMode="External" Id="rId11"/><Relationship Target="https://drive.google.com/?authuser=0#folders/0BwRUj9DWfmFmVU1aVzd0dHNHMlE" Type="http://schemas.openxmlformats.org/officeDocument/2006/relationships/hyperlink" TargetMode="External" Id="rId9"/><Relationship Target="https://drive.google.com/?authuser=0#folders/0BwRUj9DWfmFmX2pCUWstc0p6b0k" Type="http://schemas.openxmlformats.org/officeDocument/2006/relationships/hyperlink" TargetMode="External" Id="rId6"/><Relationship Target="media/image00.png" Type="http://schemas.openxmlformats.org/officeDocument/2006/relationships/image" Id="rId5"/><Relationship Target="https://docs.google.com/document/d/1wjQhcfynmRpYdxdjS48GOR7d-XxSKQb59uwoi-gRLqo/edit" Type="http://schemas.openxmlformats.org/officeDocument/2006/relationships/hyperlink" TargetMode="External" Id="rId8"/><Relationship Target="https://docs.google.com/document/d/1JCwAIrkYFckXyL0j2TRtA7xJmZ-sIf01fX35DuaehhU/edit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 de casos de uso.docx</dc:title>
</cp:coreProperties>
</file>