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Inicio de la aplicación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11/12/2012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Ávila, Beatriz Gómez Carrero.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  <w:jc w:val="center"/>
      </w:pPr>
      <w:r w:rsidRPr="00000000" w:rsidR="00000000" w:rsidDel="00000000">
        <w:drawing>
          <wp:inline>
            <wp:extent cy="2619375" cx="6591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19375" cx="6591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11/12/12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iniciar la aplicación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1.1.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Iniciar la aplicación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11 de diciembre de 2012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 abrir la aplicación aparece una pantalla con una imagen de la aplicación y después lleva al menú principal.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Tener una version de Android igual o superior a la 2.3.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Al abrir la aplicación aparece una pantalla de carga con una imagen de la aplicación. Al pasar cinco segundos o pulsar en la pantalla, aparece el menú principal de la aplicación.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Se carga el fichero de configuración con las opciones elegidas por el usuario en la última ejecución de la aplicación, o las predeterminadas si es la primera vez que se ejecuta o no se puede abrir el fichero. Los ajustes predeterminados se explican en el caso de uso 2.2. Menú ajustes.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3.- El usuario elige entre ir al menú jugar, cambiar las opciones, leer la ayuda o salir de la aplicación.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 ha cargado una configuración de ajustes, guardados en un fichero o los predeterminados en caso contrario.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left="0" w:firstLine="0" w:right="-819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left="0" w:firstLine="0" w:right="-819"/>
      <w:jc w:val="lef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left="0" w:firstLine="0" w:right="-819"/>
      <w:jc w:val="right"/>
    </w:pPr>
    <w:r w:rsidRPr="00000000" w:rsidR="00000000" w:rsidDel="00000000">
      <w:rPr>
        <w:rtl w:val="0"/>
      </w:rPr>
      <w:t xml:space="preserve">Caso de Uso: Inicio de la aplicación.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1.1- Iniciar la aplicación.docx</dc:title>
</cp:coreProperties>
</file>