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spacing w:lineRule="auto" w:after="0" w:line="276" w:before="0"/>
      </w:pPr>
      <w:bookmarkStart w:id="0" w:colFirst="0" w:name="h.xy50d8ywit13" w:colLast="0"/>
      <w:bookmarkEnd w:id="0"/>
      <w:r w:rsidRPr="00000000" w:rsidR="00000000" w:rsidDel="00000000">
        <w:rPr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>
        <w:pStyle w:val="Title"/>
        <w:spacing w:lineRule="auto" w:after="0" w:line="276" w:before="0"/>
      </w:pPr>
      <w:bookmarkStart w:id="1" w:colFirst="0" w:name="h.z9p73tejk723" w:colLast="0"/>
      <w:bookmarkEnd w:id="1"/>
      <w:r w:rsidRPr="00000000" w:rsidR="00000000" w:rsidDel="00000000">
        <w:rPr>
          <w:sz w:val="48"/>
          <w:rtl w:val="0"/>
        </w:rPr>
        <w:t xml:space="preserve">Caso de Uso: Menú principal</w:t>
      </w:r>
    </w:p>
    <w:p w:rsidP="00000000" w:rsidRPr="00000000" w:rsidR="00000000" w:rsidDel="00000000" w:rsidRDefault="00000000">
      <w:pPr>
        <w:pStyle w:val="Title"/>
        <w:spacing w:lineRule="auto" w:after="0" w:line="276" w:before="0"/>
      </w:pPr>
      <w:bookmarkStart w:id="2" w:colFirst="0" w:name="h.jbhll0adkd82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after="0" w:line="276" w:before="0"/>
      </w:pPr>
      <w:bookmarkStart w:id="3" w:colFirst="0" w:name="h.uqp6feiav2qv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after="0" w:line="276" w:before="0"/>
      </w:pPr>
      <w:bookmarkStart w:id="4" w:colFirst="0" w:name="h.58066n8vqb84" w:colLast="0"/>
      <w:bookmarkEnd w:id="4"/>
      <w:r w:rsidRPr="00000000" w:rsidR="00000000" w:rsidDel="00000000">
        <w:rPr>
          <w:sz w:val="22"/>
          <w:u w:val="single"/>
          <w:rtl w:val="0"/>
        </w:rPr>
        <w:t xml:space="preserve">Fecha:</w:t>
      </w:r>
      <w:r w:rsidRPr="00000000" w:rsidR="00000000" w:rsidDel="00000000">
        <w:rPr>
          <w:sz w:val="22"/>
          <w:rtl w:val="0"/>
        </w:rPr>
        <w:t xml:space="preserve"> 11/12/2012</w:t>
      </w:r>
    </w:p>
    <w:p w:rsidP="00000000" w:rsidRPr="00000000" w:rsidR="00000000" w:rsidDel="00000000" w:rsidRDefault="00000000">
      <w:pPr>
        <w:spacing w:lineRule="auto" w:after="0" w:line="276" w:before="0"/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 y Beatriz Gómez Carrero</w:t>
      </w:r>
    </w:p>
    <w:p w:rsidP="00000000" w:rsidRPr="00000000" w:rsidR="00000000" w:rsidDel="00000000" w:rsidRDefault="00000000">
      <w:pPr>
        <w:spacing w:lineRule="auto" w:after="0" w:line="276" w:before="0"/>
      </w:pPr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ind w:left="-869" w:firstLine="0" w:right="-254"/>
      </w:pPr>
      <w:bookmarkStart w:id="5" w:colFirst="0" w:name="h.endrkd89nv" w:colLast="0"/>
      <w:bookmarkEnd w:id="5"/>
      <w:r w:rsidRPr="00000000" w:rsidR="00000000" w:rsidDel="00000000">
        <w:drawing>
          <wp:inline>
            <wp:extent cy="2581275" cx="648652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581275" cx="6486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befor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spacing w:lineRule="auto" w:after="0" w:before="0"/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11/12/12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 w:before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pPr>
        <w:pStyle w:val="Title"/>
        <w:jc w:val="center"/>
      </w:pPr>
      <w:bookmarkStart w:id="6" w:colFirst="0" w:name="h.j05n5ywjkdyr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jc w:val="center"/>
      </w:pPr>
      <w:bookmarkStart w:id="7" w:colFirst="0" w:name="h.md3iftaje9c1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jc w:val="center"/>
      </w:pPr>
      <w:bookmarkStart w:id="8" w:colFirst="0" w:name="h.mnmrtiraj2vg" w:colLast="0"/>
      <w:bookmarkEnd w:id="8"/>
      <w:r w:rsidRPr="00000000" w:rsidR="00000000" w:rsidDel="00000000">
        <w:rPr>
          <w:sz w:val="36"/>
          <w:rtl w:val="0"/>
        </w:rPr>
        <w:t xml:space="preserve">Caso de uso del menú principal de la aplicación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10"/>
        <w:gridCol w:w="705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2.1.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Menu principal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11 de diciembre de 2012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Funcionamiento del menú principal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 debe haber ejecutado el caso de uso lanzamiento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36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Hay cuatro opciones. La primera sirve para entrar en la creación de partidas y chat. La segunda opción sirve para cambiar las opciones. En la tercera se puede ver la ayuda del juego. Y en la última se cierra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36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Dependiendo de qué opción se elija, se generan los siguientes casos de uso: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1) Menu jugar y chat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2) Menu ajustes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3) Menu ayuda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4) Salida de la aplicación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Menú principal.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2.1- Menú principal.docx</dc:title>
</cp:coreProperties>
</file>