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Mover jugador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08/01/2013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 y Beatriz Gómez Carrero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-254" w:hanging="869"/>
      </w:pPr>
      <w:r w:rsidRPr="00000000" w:rsidR="00000000" w:rsidDel="00000000">
        <w:drawing>
          <wp:inline>
            <wp:extent cy="2619375" cx="65817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19375" cx="6581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08/01/2013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Beatriz Gómez Carrero y Federico García Ávila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mover jugador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3.1.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Mover jugador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Beatriz Gómez Carrero y Federico García Ávila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 creación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8 de enero de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Al pulsar cualquiera de los botones de dirección, si las reglas del juego lo permiten, el jugador se mueve en la dirección correspondiente.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Estar en una partida y no haber perdido todas sus vidas.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El usuario pulsa uno de los botones de dirección.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Se comprueba que pueda realizar el movimiento.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2.1.- No puede moverse a una posición donde haya una pared.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2.2.- No puede moverse a una posición donde haya un arpón, a no ser que tenga la mejora de mover arpones. (En este caso, ir al caso de uso X.- Mover arpon)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2.3.- No puede moverse a una posición donde haya un bloque destruible.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2.4.- No puede moverse a una posición donde haya un bloque fijo.</w:t>
            </w:r>
          </w:p>
          <w:p w:rsidP="00000000" w:rsidRPr="00000000" w:rsidR="00000000" w:rsidDel="00000000" w:rsidRDefault="00000000">
            <w:pPr>
              <w:ind w:left="360" w:firstLine="0"/>
            </w:pPr>
            <w:r w:rsidRPr="00000000" w:rsidR="00000000" w:rsidDel="00000000">
              <w:rPr>
                <w:rtl w:val="0"/>
              </w:rPr>
              <w:t xml:space="preserve">2.5.- Puede moverse a una posición donde haya un jugador.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3.- Si no se puede realizar el movimiento, se comprueba si se puede bordear el obstáculo encontrado, y en caso positivo se cambia la dirección para bordearlo (y esta nueva dirección será en la que se realice el movimiento).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En caso de que se pueda realizar el movimiento, según las condiciones comprobadas en el flujo del caso de uso, se mueve el jugador en esa dirección.</w:t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Caso de Uso: Mover jugador.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3.1- Mover jugador.docx</dc:title>
</cp:coreProperties>
</file>