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Plantilla Especificación Casos de Uso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&lt;&lt;Identificador único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&lt;&lt;Nombre del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&lt;&lt;Nombre de la persona quien realizo el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&lt;&lt;Fecha creación del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&lt;&lt;pequeño resumen del caso de uso&gt;&gt;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&lt;&lt;Se indica los usuarios que interactúan con el caso de uso&gt;&gt;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&lt;&lt;Condiciones que deben pasar antes que el caso de uso sea ejecutado&gt;&gt;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&lt;&lt;Descripción detalla del flujo del caso de uso&gt;&gt;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&lt;&lt;Condiciones que se generan al momento de terminar el caso de uso&gt;&gt;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 xml:space="preserve">Hecho por beatriz y federico.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especificación de casos de uso (Antigua).docx</dc:title>
</cp:coreProperties>
</file>