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FE4B" w14:textId="369B445C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p w14:paraId="2E802E28" w14:textId="06778BC0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tbl>
      <w:tblPr>
        <w:tblStyle w:val="Tablaconcuadrcula"/>
        <w:tblpPr w:leftFromText="141" w:rightFromText="141" w:vertAnchor="page" w:horzAnchor="margin" w:tblpXSpec="center" w:tblpY="31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E2B38" w:rsidRPr="008C1065" w14:paraId="7811F57C" w14:textId="77777777" w:rsidTr="00CE2B38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6951896C" w14:textId="77777777" w:rsidR="00CE2B38" w:rsidRPr="008C1065" w:rsidRDefault="00CE2B38" w:rsidP="00CE2B38">
            <w:pPr>
              <w:jc w:val="center"/>
              <w:rPr>
                <w:b/>
                <w:sz w:val="20"/>
                <w:szCs w:val="20"/>
              </w:rPr>
            </w:pPr>
            <w:bookmarkStart w:id="0" w:name="_Hlk205851232"/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CE2B38" w:rsidRPr="008C1065" w14:paraId="1BFAE4A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4037C8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razon_social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74CDF347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{fecha}</w:t>
            </w:r>
          </w:p>
        </w:tc>
      </w:tr>
      <w:tr w:rsidR="00CE2B38" w:rsidRPr="008C1065" w14:paraId="520E3D2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321B575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3F3AE920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{pago}</w:t>
            </w:r>
          </w:p>
        </w:tc>
      </w:tr>
      <w:tr w:rsidR="00CE2B38" w:rsidRPr="008C1065" w14:paraId="0217E045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74BF6EE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direccion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084CB71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{plazo}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CE2B38" w:rsidRPr="008C1065" w14:paraId="0DC0B5A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903696B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telefono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2F00A1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{moneda}</w:t>
            </w:r>
          </w:p>
        </w:tc>
      </w:tr>
      <w:tr w:rsidR="00CE2B38" w:rsidRPr="008C1065" w14:paraId="03C3EE5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3505AD9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35E09514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{oferta} días</w:t>
            </w:r>
          </w:p>
        </w:tc>
      </w:tr>
      <w:bookmarkEnd w:id="0"/>
    </w:tbl>
    <w:p w14:paraId="7A4FEA3C" w14:textId="77777777" w:rsidR="00CE2B38" w:rsidRDefault="00CE2B38">
      <w:pPr>
        <w:rPr>
          <w:sz w:val="20"/>
          <w:szCs w:val="20"/>
        </w:rPr>
      </w:pPr>
    </w:p>
    <w:p w14:paraId="69C7EA74" w14:textId="77777777" w:rsidR="00CE2B38" w:rsidRPr="008C1065" w:rsidRDefault="00CE2B38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{#</w:t>
            </w:r>
            <w:proofErr w:type="gramStart"/>
            <w:r w:rsidRPr="008C1065">
              <w:rPr>
                <w:sz w:val="18"/>
                <w:szCs w:val="18"/>
              </w:rPr>
              <w:t>items}{</w:t>
            </w:r>
            <w:proofErr w:type="gramEnd"/>
            <w:r w:rsidRPr="008C1065">
              <w:rPr>
                <w:sz w:val="18"/>
                <w:szCs w:val="18"/>
              </w:rPr>
              <w:t>item}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>{</w:t>
            </w:r>
            <w:proofErr w:type="spellStart"/>
            <w:r w:rsidRPr="00615DF6">
              <w:rPr>
                <w:sz w:val="16"/>
                <w:szCs w:val="16"/>
              </w:rPr>
              <w:t>NroParte</w:t>
            </w:r>
            <w:proofErr w:type="spellEnd"/>
            <w:r w:rsidRPr="00615DF6">
              <w:rPr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>{nombreServicio}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{cantidad}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{monto}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</w:t>
            </w:r>
            <w:proofErr w:type="gramStart"/>
            <w:r w:rsidRPr="008C1065">
              <w:rPr>
                <w:sz w:val="18"/>
                <w:szCs w:val="18"/>
              </w:rPr>
              <w:t>}{</w:t>
            </w:r>
            <w:proofErr w:type="gramEnd"/>
            <w:r w:rsidRPr="008C1065">
              <w:rPr>
                <w:sz w:val="18"/>
                <w:szCs w:val="18"/>
              </w:rPr>
              <w:t>/}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{subtotal}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2A2F6B07" w:rsidR="00615DF6" w:rsidRPr="008C1065" w:rsidRDefault="00F911B6" w:rsidP="008C1065">
            <w:pPr>
              <w:jc w:val="center"/>
              <w:rPr>
                <w:sz w:val="18"/>
                <w:szCs w:val="18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7216" behindDoc="1" locked="0" layoutInCell="1" allowOverlap="1" wp14:anchorId="457DA470" wp14:editId="528BD7CA">
                  <wp:simplePos x="0" y="0"/>
                  <wp:positionH relativeFrom="column">
                    <wp:posOffset>-2002155</wp:posOffset>
                  </wp:positionH>
                  <wp:positionV relativeFrom="paragraph">
                    <wp:posOffset>-991235</wp:posOffset>
                  </wp:positionV>
                  <wp:extent cx="2586990" cy="1754505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6990" cy="175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</w:t>
            </w:r>
            <w:proofErr w:type="spellStart"/>
            <w:r w:rsidRPr="008C1065">
              <w:rPr>
                <w:sz w:val="18"/>
                <w:szCs w:val="18"/>
              </w:rPr>
              <w:t>igv</w:t>
            </w:r>
            <w:proofErr w:type="spellEnd"/>
            <w:r w:rsidRPr="008C1065">
              <w:rPr>
                <w:sz w:val="18"/>
                <w:szCs w:val="18"/>
              </w:rPr>
              <w:t>}</w:t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3AA33DD3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0FD76CED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33B1491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59DA90B2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5E7A55D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3E3FA1D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  <w:r w:rsidR="00F911B6" w:rsidRPr="00F911B6">
        <w:rPr>
          <w:noProof/>
          <w:sz w:val="20"/>
          <w:szCs w:val="20"/>
          <w:lang w:eastAsia="es-PE"/>
        </w:rPr>
        <w:t xml:space="preserve"> 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20B6D" w14:textId="77777777" w:rsidR="00736BEC" w:rsidRDefault="00736BEC" w:rsidP="001D24EE">
      <w:pPr>
        <w:spacing w:after="0" w:line="240" w:lineRule="auto"/>
      </w:pPr>
      <w:r>
        <w:separator/>
      </w:r>
    </w:p>
  </w:endnote>
  <w:endnote w:type="continuationSeparator" w:id="0">
    <w:p w14:paraId="0BD8C15C" w14:textId="77777777" w:rsidR="00736BEC" w:rsidRDefault="00736BEC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6CD6" w14:textId="77777777" w:rsidR="00736BEC" w:rsidRDefault="00736BEC" w:rsidP="001D24EE">
      <w:pPr>
        <w:spacing w:after="0" w:line="240" w:lineRule="auto"/>
      </w:pPr>
      <w:r>
        <w:separator/>
      </w:r>
    </w:p>
  </w:footnote>
  <w:footnote w:type="continuationSeparator" w:id="0">
    <w:p w14:paraId="54FF8CCF" w14:textId="77777777" w:rsidR="00736BEC" w:rsidRDefault="00736BEC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4509E"/>
    <w:rsid w:val="000651E8"/>
    <w:rsid w:val="00066676"/>
    <w:rsid w:val="000B2AE4"/>
    <w:rsid w:val="00183C36"/>
    <w:rsid w:val="001D24EE"/>
    <w:rsid w:val="002701A4"/>
    <w:rsid w:val="00343650"/>
    <w:rsid w:val="0035427E"/>
    <w:rsid w:val="003E598D"/>
    <w:rsid w:val="00457FBA"/>
    <w:rsid w:val="00472B17"/>
    <w:rsid w:val="004921A5"/>
    <w:rsid w:val="00503306"/>
    <w:rsid w:val="005452CC"/>
    <w:rsid w:val="00552161"/>
    <w:rsid w:val="005815B5"/>
    <w:rsid w:val="00615DF6"/>
    <w:rsid w:val="00620E1B"/>
    <w:rsid w:val="0064540E"/>
    <w:rsid w:val="006E095A"/>
    <w:rsid w:val="00736BEC"/>
    <w:rsid w:val="007446F3"/>
    <w:rsid w:val="008C1065"/>
    <w:rsid w:val="008C17A9"/>
    <w:rsid w:val="008E0AB4"/>
    <w:rsid w:val="00903FEF"/>
    <w:rsid w:val="00940601"/>
    <w:rsid w:val="00A4153B"/>
    <w:rsid w:val="00AB1F9C"/>
    <w:rsid w:val="00B345A4"/>
    <w:rsid w:val="00C652D2"/>
    <w:rsid w:val="00CA15BB"/>
    <w:rsid w:val="00CE2B38"/>
    <w:rsid w:val="00CE61FE"/>
    <w:rsid w:val="00F42F30"/>
    <w:rsid w:val="00F911B6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15</cp:revision>
  <cp:lastPrinted>2025-07-26T05:37:00Z</cp:lastPrinted>
  <dcterms:created xsi:type="dcterms:W3CDTF">2025-07-26T03:39:00Z</dcterms:created>
  <dcterms:modified xsi:type="dcterms:W3CDTF">2025-08-12T05:35:00Z</dcterms:modified>
</cp:coreProperties>
</file>