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D13B" w14:textId="77777777" w:rsidR="0005670B" w:rsidRDefault="00296614">
      <w:pPr>
        <w:jc w:val="center"/>
      </w:pPr>
      <w:r>
        <w:rPr>
          <w:b/>
          <w:color w:val="1F4E79"/>
          <w:sz w:val="38"/>
        </w:rPr>
        <w:t>INFORME DE AUDITORÍA Y CIERRE DOCUMENTAL TDAH</w:t>
      </w:r>
    </w:p>
    <w:p w14:paraId="00CC7DE8" w14:textId="77777777" w:rsidR="0005670B" w:rsidRDefault="00296614">
      <w:pPr>
        <w:jc w:val="center"/>
      </w:pPr>
      <w:r>
        <w:rPr>
          <w:i/>
          <w:sz w:val="20"/>
        </w:rPr>
        <w:t>Proyecto de evaluación TDAH · Documento operativo</w:t>
      </w:r>
    </w:p>
    <w:p w14:paraId="4006ECF8" w14:textId="77777777" w:rsidR="0005670B" w:rsidRDefault="00296614">
      <w:r>
        <w:t>Versión corregida para programación y uso profesional · 30 de octubre de 2026</w:t>
      </w:r>
    </w:p>
    <w:p w14:paraId="64BDCF11" w14:textId="77777777" w:rsidR="0005670B" w:rsidRDefault="00296614">
      <w:pPr>
        <w:pStyle w:val="Ttulo1"/>
      </w:pPr>
      <w:r>
        <w:t>1. Alcance y documentos contrastados</w:t>
      </w:r>
    </w:p>
    <w:p w14:paraId="60BDB6D6" w14:textId="77777777" w:rsidR="0005670B" w:rsidRDefault="00296614">
      <w:r>
        <w:t>Auditoría documental de la estructura del informe, instrucciones al programador, reglas de salida y evidencia técnica disponible. No se modificaron Etapas 1–9 ni se realizó una nueva validación clínica de los algoritmos.</w:t>
      </w:r>
    </w:p>
    <w:p w14:paraId="691C0CA7" w14:textId="77777777" w:rsidR="0005670B" w:rsidRDefault="00296614">
      <w:pPr>
        <w:pStyle w:val="Listaconvietas"/>
      </w:pPr>
      <w:r>
        <w:t>Modelo Maestro TDAH — versión de cierre recibida el 30-10-2026.</w:t>
      </w:r>
    </w:p>
    <w:p w14:paraId="741E457F" w14:textId="77777777" w:rsidR="0005670B" w:rsidRDefault="00296614">
      <w:pPr>
        <w:pStyle w:val="Listaconvietas"/>
      </w:pPr>
      <w:r>
        <w:t>Modelo de Informe de Salida TDAH — versión de cierre recibida el 30-10-2026.</w:t>
      </w:r>
    </w:p>
    <w:p w14:paraId="485D0961" w14:textId="77777777" w:rsidR="0005670B" w:rsidRDefault="00296614">
      <w:pPr>
        <w:pStyle w:val="Listaconvietas"/>
      </w:pPr>
      <w:r>
        <w:t>Módulo de generación del informe de 16 secciones (Texto pegado(4).txt, 22-10-2026).</w:t>
      </w:r>
    </w:p>
    <w:p w14:paraId="343DABFA" w14:textId="77777777" w:rsidR="0005670B" w:rsidRDefault="00296614">
      <w:pPr>
        <w:pStyle w:val="Listaconvietas"/>
      </w:pPr>
      <w:r>
        <w:t>Auditoría técnica del repositorio fechada 30-10-2026 y resultados del protocolo formal.</w:t>
      </w:r>
    </w:p>
    <w:p w14:paraId="3CFB5237" w14:textId="77777777" w:rsidR="0005670B" w:rsidRDefault="00296614">
      <w:pPr>
        <w:pStyle w:val="Ttulo1"/>
      </w:pPr>
      <w:r>
        <w:t>2. Hallazgo principal corregido</w:t>
      </w:r>
    </w:p>
    <w:p w14:paraId="108DCAE5" w14:textId="77777777" w:rsidR="0005670B" w:rsidRDefault="00296614">
      <w:r>
        <w:t>Los dos documentos de cierre mantenían ocho secciones como estructura obligatoria. El Modelo Maestro lo declaraba en portada, en su sección C y en la instrucción final; el modelo de salida indicaba expresamente mantener siempre ocho secciones. Esto contradecía el módulo de generación de 16 secciones y la decisión K9 registrada en la auditoría técnica y probada mediante PE-22. Ambos documentos fueron reestructurados para utilizar exactamente las 16 secciones del módulo, en el mismo orden, más la síntesis edu</w:t>
      </w:r>
      <w:r>
        <w:t>cativa.</w:t>
      </w:r>
    </w:p>
    <w:p w14:paraId="2AAD6E89" w14:textId="77777777" w:rsidR="0005670B" w:rsidRDefault="00296614">
      <w:pPr>
        <w:pStyle w:val="Ttulo1"/>
      </w:pPr>
      <w:r>
        <w:t>3. Matriz de correspondencia y aceptación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2"/>
        <w:gridCol w:w="2481"/>
        <w:gridCol w:w="2482"/>
        <w:gridCol w:w="2481"/>
      </w:tblGrid>
      <w:tr w:rsidR="0005670B" w14:paraId="1C75067E" w14:textId="77777777">
        <w:tc>
          <w:tcPr>
            <w:tcW w:w="2484" w:type="dxa"/>
            <w:shd w:val="clear" w:color="auto" w:fill="D9EAF7"/>
          </w:tcPr>
          <w:p w14:paraId="5A765236" w14:textId="77777777" w:rsidR="0005670B" w:rsidRDefault="00296614">
            <w:r>
              <w:t>Requisito</w:t>
            </w:r>
          </w:p>
        </w:tc>
        <w:tc>
          <w:tcPr>
            <w:tcW w:w="2484" w:type="dxa"/>
            <w:shd w:val="clear" w:color="auto" w:fill="D9EAF7"/>
          </w:tcPr>
          <w:p w14:paraId="083CD6A9" w14:textId="77777777" w:rsidR="0005670B" w:rsidRDefault="00296614">
            <w:r>
              <w:t>Evidencia técnica reportada</w:t>
            </w:r>
          </w:p>
        </w:tc>
        <w:tc>
          <w:tcPr>
            <w:tcW w:w="2484" w:type="dxa"/>
            <w:shd w:val="clear" w:color="auto" w:fill="D9EAF7"/>
          </w:tcPr>
          <w:p w14:paraId="2103BA3C" w14:textId="77777777" w:rsidR="0005670B" w:rsidRDefault="00296614">
            <w:r>
              <w:t>Incorporación documental</w:t>
            </w:r>
          </w:p>
        </w:tc>
        <w:tc>
          <w:tcPr>
            <w:tcW w:w="2484" w:type="dxa"/>
            <w:shd w:val="clear" w:color="auto" w:fill="D9EAF7"/>
          </w:tcPr>
          <w:p w14:paraId="270C430D" w14:textId="77777777" w:rsidR="0005670B" w:rsidRDefault="00296614">
            <w:r>
              <w:t>Estado</w:t>
            </w:r>
          </w:p>
        </w:tc>
      </w:tr>
      <w:tr w:rsidR="0005670B" w14:paraId="3CCE39B2" w14:textId="77777777">
        <w:tc>
          <w:tcPr>
            <w:tcW w:w="2484" w:type="dxa"/>
          </w:tcPr>
          <w:p w14:paraId="5086CF29" w14:textId="77777777" w:rsidR="0005670B" w:rsidRDefault="00296614">
            <w:r>
              <w:t>Estructura oficial 16 secciones</w:t>
            </w:r>
          </w:p>
        </w:tc>
        <w:tc>
          <w:tcPr>
            <w:tcW w:w="2484" w:type="dxa"/>
          </w:tcPr>
          <w:p w14:paraId="5EC64B5C" w14:textId="77777777" w:rsidR="0005670B" w:rsidRDefault="00296614">
            <w:r>
              <w:t>PE-22 aprobada; decisión K9 en auditoría del repositorio</w:t>
            </w:r>
          </w:p>
        </w:tc>
        <w:tc>
          <w:tcPr>
            <w:tcW w:w="2484" w:type="dxa"/>
          </w:tcPr>
          <w:p w14:paraId="7845DEBC" w14:textId="77777777" w:rsidR="0005670B" w:rsidRDefault="00296614">
            <w:r>
              <w:t>Ambos documentos usan 3.1–3.16 y conservan síntesis educativa separada</w:t>
            </w:r>
          </w:p>
        </w:tc>
        <w:tc>
          <w:tcPr>
            <w:tcW w:w="2484" w:type="dxa"/>
          </w:tcPr>
          <w:p w14:paraId="2B7EDC17" w14:textId="77777777" w:rsidR="0005670B" w:rsidRDefault="00296614">
            <w:r>
              <w:t>Corregido y alineado</w:t>
            </w:r>
          </w:p>
        </w:tc>
      </w:tr>
      <w:tr w:rsidR="0005670B" w14:paraId="2583ED6D" w14:textId="77777777">
        <w:tc>
          <w:tcPr>
            <w:tcW w:w="2484" w:type="dxa"/>
          </w:tcPr>
          <w:p w14:paraId="4E882540" w14:textId="77777777" w:rsidR="0005670B" w:rsidRDefault="00296614">
            <w:r>
              <w:t>A1 — fuente colegio no sustituye hogar</w:t>
            </w:r>
          </w:p>
        </w:tc>
        <w:tc>
          <w:tcPr>
            <w:tcW w:w="2484" w:type="dxa"/>
          </w:tcPr>
          <w:p w14:paraId="5809DBF2" w14:textId="77777777" w:rsidR="0005670B" w:rsidRDefault="00296614">
            <w:r>
              <w:t>PE-14 aprobada</w:t>
            </w:r>
          </w:p>
        </w:tc>
        <w:tc>
          <w:tcPr>
            <w:tcW w:w="2484" w:type="dxa"/>
          </w:tcPr>
          <w:p w14:paraId="0D47A8A3" w14:textId="77777777" w:rsidR="0005670B" w:rsidRDefault="00296614">
            <w:r>
              <w:t>Regla por fuente y pregunta al apoderado sobre hogar</w:t>
            </w:r>
          </w:p>
        </w:tc>
        <w:tc>
          <w:tcPr>
            <w:tcW w:w="2484" w:type="dxa"/>
          </w:tcPr>
          <w:p w14:paraId="111D20E7" w14:textId="77777777" w:rsidR="0005670B" w:rsidRDefault="00296614">
            <w:r>
              <w:t>Alineado</w:t>
            </w:r>
          </w:p>
        </w:tc>
      </w:tr>
      <w:tr w:rsidR="0005670B" w14:paraId="3845A157" w14:textId="77777777">
        <w:tc>
          <w:tcPr>
            <w:tcW w:w="2484" w:type="dxa"/>
          </w:tcPr>
          <w:p w14:paraId="51382837" w14:textId="77777777" w:rsidR="0005670B" w:rsidRDefault="00296614">
            <w:r>
              <w:t>A2 — frecuencias por fuente</w:t>
            </w:r>
          </w:p>
        </w:tc>
        <w:tc>
          <w:tcPr>
            <w:tcW w:w="2484" w:type="dxa"/>
          </w:tcPr>
          <w:p w14:paraId="726BB9F7" w14:textId="77777777" w:rsidR="0005670B" w:rsidRDefault="00296614">
            <w:r>
              <w:t>PE-24 aprobada</w:t>
            </w:r>
          </w:p>
        </w:tc>
        <w:tc>
          <w:tcPr>
            <w:tcW w:w="2484" w:type="dxa"/>
          </w:tcPr>
          <w:p w14:paraId="29CA3FD4" w14:textId="77777777" w:rsidR="0005670B" w:rsidRDefault="00296614">
            <w:r>
              <w:t>Frecuencias por fuente/contexto; no contradicción automática</w:t>
            </w:r>
          </w:p>
        </w:tc>
        <w:tc>
          <w:tcPr>
            <w:tcW w:w="2484" w:type="dxa"/>
          </w:tcPr>
          <w:p w14:paraId="4EFF6EAC" w14:textId="77777777" w:rsidR="0005670B" w:rsidRDefault="00296614">
            <w:r>
              <w:t>Alineado</w:t>
            </w:r>
          </w:p>
        </w:tc>
      </w:tr>
      <w:tr w:rsidR="0005670B" w14:paraId="62525F09" w14:textId="77777777">
        <w:tc>
          <w:tcPr>
            <w:tcW w:w="2484" w:type="dxa"/>
          </w:tcPr>
          <w:p w14:paraId="624B4CD0" w14:textId="77777777" w:rsidR="0005670B" w:rsidRDefault="00296614">
            <w:r>
              <w:t>A3 — relato espontáneo contradictorio</w:t>
            </w:r>
          </w:p>
        </w:tc>
        <w:tc>
          <w:tcPr>
            <w:tcW w:w="2484" w:type="dxa"/>
          </w:tcPr>
          <w:p w14:paraId="7DCEA8F7" w14:textId="77777777" w:rsidR="0005670B" w:rsidRDefault="00296614">
            <w:r>
              <w:t>PE-10 aprobada</w:t>
            </w:r>
          </w:p>
        </w:tc>
        <w:tc>
          <w:tcPr>
            <w:tcW w:w="2484" w:type="dxa"/>
          </w:tcPr>
          <w:p w14:paraId="7C351106" w14:textId="77777777" w:rsidR="0005670B" w:rsidRDefault="00296614">
            <w:r>
              <w:t>Conservar mención y contradicción</w:t>
            </w:r>
          </w:p>
        </w:tc>
        <w:tc>
          <w:tcPr>
            <w:tcW w:w="2484" w:type="dxa"/>
          </w:tcPr>
          <w:p w14:paraId="1ADB18C8" w14:textId="77777777" w:rsidR="0005670B" w:rsidRDefault="00296614">
            <w:r>
              <w:t>Alineado</w:t>
            </w:r>
          </w:p>
        </w:tc>
      </w:tr>
      <w:tr w:rsidR="0005670B" w14:paraId="5B1DDAD8" w14:textId="77777777">
        <w:tc>
          <w:tcPr>
            <w:tcW w:w="2484" w:type="dxa"/>
          </w:tcPr>
          <w:p w14:paraId="0D14C6D2" w14:textId="77777777" w:rsidR="0005670B" w:rsidRDefault="00296614">
            <w:r>
              <w:t>A4 — historial Nesplora</w:t>
            </w:r>
          </w:p>
        </w:tc>
        <w:tc>
          <w:tcPr>
            <w:tcW w:w="2484" w:type="dxa"/>
          </w:tcPr>
          <w:p w14:paraId="711C2500" w14:textId="77777777" w:rsidR="0005670B" w:rsidRDefault="00296614">
            <w:r>
              <w:t>PE-19 aprobada</w:t>
            </w:r>
          </w:p>
        </w:tc>
        <w:tc>
          <w:tcPr>
            <w:tcW w:w="2484" w:type="dxa"/>
          </w:tcPr>
          <w:p w14:paraId="5FC47279" w14:textId="77777777" w:rsidR="0005670B" w:rsidRDefault="00296614">
            <w:r>
              <w:t>Versionado y conservación de aplicaciones previas</w:t>
            </w:r>
          </w:p>
        </w:tc>
        <w:tc>
          <w:tcPr>
            <w:tcW w:w="2484" w:type="dxa"/>
          </w:tcPr>
          <w:p w14:paraId="0E68875E" w14:textId="77777777" w:rsidR="0005670B" w:rsidRDefault="00296614">
            <w:r>
              <w:t>Alineado</w:t>
            </w:r>
          </w:p>
        </w:tc>
      </w:tr>
      <w:tr w:rsidR="0005670B" w14:paraId="3E06FE5D" w14:textId="77777777">
        <w:tc>
          <w:tcPr>
            <w:tcW w:w="2484" w:type="dxa"/>
          </w:tcPr>
          <w:p w14:paraId="23616511" w14:textId="77777777" w:rsidR="0005670B" w:rsidRDefault="00296614">
            <w:r>
              <w:t>A5 — informe tardío</w:t>
            </w:r>
          </w:p>
        </w:tc>
        <w:tc>
          <w:tcPr>
            <w:tcW w:w="2484" w:type="dxa"/>
          </w:tcPr>
          <w:p w14:paraId="6A6EF36C" w14:textId="77777777" w:rsidR="0005670B" w:rsidRDefault="00296614">
            <w:r>
              <w:t>PE-04 aprobada</w:t>
            </w:r>
          </w:p>
        </w:tc>
        <w:tc>
          <w:tcPr>
            <w:tcW w:w="2484" w:type="dxa"/>
          </w:tcPr>
          <w:p w14:paraId="3D7D638E" w14:textId="77777777" w:rsidR="0005670B" w:rsidRDefault="00296614">
            <w:r>
              <w:t>Ruta B y discrepancia, sin borrar respuestas previas</w:t>
            </w:r>
          </w:p>
        </w:tc>
        <w:tc>
          <w:tcPr>
            <w:tcW w:w="2484" w:type="dxa"/>
          </w:tcPr>
          <w:p w14:paraId="0E6118F4" w14:textId="77777777" w:rsidR="0005670B" w:rsidRDefault="00296614">
            <w:r>
              <w:t>Alineado</w:t>
            </w:r>
          </w:p>
        </w:tc>
      </w:tr>
      <w:tr w:rsidR="0005670B" w14:paraId="61593BF8" w14:textId="77777777">
        <w:tc>
          <w:tcPr>
            <w:tcW w:w="2484" w:type="dxa"/>
          </w:tcPr>
          <w:p w14:paraId="2D5918B1" w14:textId="77777777" w:rsidR="0005670B" w:rsidRDefault="00296614">
            <w:r>
              <w:t>A6 — puerta en API</w:t>
            </w:r>
          </w:p>
        </w:tc>
        <w:tc>
          <w:tcPr>
            <w:tcW w:w="2484" w:type="dxa"/>
          </w:tcPr>
          <w:p w14:paraId="4E150F26" w14:textId="77777777" w:rsidR="0005670B" w:rsidRDefault="00296614">
            <w:r>
              <w:t>PE-03 aprobada</w:t>
            </w:r>
          </w:p>
        </w:tc>
        <w:tc>
          <w:tcPr>
            <w:tcW w:w="2484" w:type="dxa"/>
          </w:tcPr>
          <w:p w14:paraId="18F2FE46" w14:textId="77777777" w:rsidR="0005670B" w:rsidRDefault="00296614">
            <w:r>
              <w:t>Puerta de entrada aplicada a cargas y vías de captura</w:t>
            </w:r>
          </w:p>
        </w:tc>
        <w:tc>
          <w:tcPr>
            <w:tcW w:w="2484" w:type="dxa"/>
          </w:tcPr>
          <w:p w14:paraId="3D117243" w14:textId="77777777" w:rsidR="0005670B" w:rsidRDefault="00296614">
            <w:r>
              <w:t>Alineado</w:t>
            </w:r>
          </w:p>
        </w:tc>
      </w:tr>
      <w:tr w:rsidR="0005670B" w14:paraId="2AA59B54" w14:textId="77777777">
        <w:tc>
          <w:tcPr>
            <w:tcW w:w="2484" w:type="dxa"/>
          </w:tcPr>
          <w:p w14:paraId="375E8BCF" w14:textId="77777777" w:rsidR="0005670B" w:rsidRDefault="00296614">
            <w:r>
              <w:t>A7 — QC calculado</w:t>
            </w:r>
          </w:p>
        </w:tc>
        <w:tc>
          <w:tcPr>
            <w:tcW w:w="2484" w:type="dxa"/>
          </w:tcPr>
          <w:p w14:paraId="4126618F" w14:textId="77777777" w:rsidR="0005670B" w:rsidRDefault="00296614">
            <w:r>
              <w:t>PE-25 aprobada</w:t>
            </w:r>
          </w:p>
        </w:tc>
        <w:tc>
          <w:tcPr>
            <w:tcW w:w="2484" w:type="dxa"/>
          </w:tcPr>
          <w:p w14:paraId="78799139" w14:textId="77777777" w:rsidR="0005670B" w:rsidRDefault="00296614">
            <w:r>
              <w:t>Prohibición de OK/Cumple fijo; controles verificables</w:t>
            </w:r>
          </w:p>
        </w:tc>
        <w:tc>
          <w:tcPr>
            <w:tcW w:w="2484" w:type="dxa"/>
          </w:tcPr>
          <w:p w14:paraId="6AC53596" w14:textId="77777777" w:rsidR="0005670B" w:rsidRDefault="00296614">
            <w:r>
              <w:t>Alineado</w:t>
            </w:r>
          </w:p>
        </w:tc>
      </w:tr>
      <w:tr w:rsidR="0005670B" w14:paraId="2DAD6095" w14:textId="77777777">
        <w:tc>
          <w:tcPr>
            <w:tcW w:w="2484" w:type="dxa"/>
          </w:tcPr>
          <w:p w14:paraId="2E44A548" w14:textId="77777777" w:rsidR="0005670B" w:rsidRDefault="00296614">
            <w:r>
              <w:lastRenderedPageBreak/>
              <w:t>Trazabilidad/estado motor</w:t>
            </w:r>
          </w:p>
        </w:tc>
        <w:tc>
          <w:tcPr>
            <w:tcW w:w="2484" w:type="dxa"/>
          </w:tcPr>
          <w:p w14:paraId="1A8584BD" w14:textId="77777777" w:rsidR="0005670B" w:rsidRDefault="00296614">
            <w:r>
              <w:t>PE-23 aprobada</w:t>
            </w:r>
          </w:p>
        </w:tc>
        <w:tc>
          <w:tcPr>
            <w:tcW w:w="2484" w:type="dxa"/>
          </w:tcPr>
          <w:p w14:paraId="0F420860" w14:textId="77777777" w:rsidR="0005670B" w:rsidRDefault="00296614">
            <w:r>
              <w:t>Salida reproduce estados del motor; no recalcula</w:t>
            </w:r>
          </w:p>
        </w:tc>
        <w:tc>
          <w:tcPr>
            <w:tcW w:w="2484" w:type="dxa"/>
          </w:tcPr>
          <w:p w14:paraId="734809D0" w14:textId="77777777" w:rsidR="0005670B" w:rsidRDefault="00296614">
            <w:r>
              <w:t>Alineado</w:t>
            </w:r>
          </w:p>
        </w:tc>
      </w:tr>
      <w:tr w:rsidR="0005670B" w14:paraId="3BDA81D2" w14:textId="77777777">
        <w:tc>
          <w:tcPr>
            <w:tcW w:w="2484" w:type="dxa"/>
          </w:tcPr>
          <w:p w14:paraId="6F5EFCE2" w14:textId="77777777" w:rsidR="0005670B" w:rsidRDefault="00296614">
            <w:r>
              <w:t>Validación profesional</w:t>
            </w:r>
          </w:p>
        </w:tc>
        <w:tc>
          <w:tcPr>
            <w:tcW w:w="2484" w:type="dxa"/>
          </w:tcPr>
          <w:p w14:paraId="2A185241" w14:textId="77777777" w:rsidR="0005670B" w:rsidRDefault="00296614">
            <w:r>
              <w:t>PE-21 aprobada</w:t>
            </w:r>
          </w:p>
        </w:tc>
        <w:tc>
          <w:tcPr>
            <w:tcW w:w="2484" w:type="dxa"/>
          </w:tcPr>
          <w:p w14:paraId="02184DAD" w14:textId="77777777" w:rsidR="0005670B" w:rsidRDefault="00296614">
            <w:r>
              <w:t>No auto-validar; aprobación profesional requerida</w:t>
            </w:r>
          </w:p>
        </w:tc>
        <w:tc>
          <w:tcPr>
            <w:tcW w:w="2484" w:type="dxa"/>
          </w:tcPr>
          <w:p w14:paraId="796892F4" w14:textId="77777777" w:rsidR="0005670B" w:rsidRDefault="00296614">
            <w:r>
              <w:t>Alineado</w:t>
            </w:r>
          </w:p>
        </w:tc>
      </w:tr>
      <w:tr w:rsidR="0005670B" w14:paraId="64BAEA80" w14:textId="77777777">
        <w:tc>
          <w:tcPr>
            <w:tcW w:w="2484" w:type="dxa"/>
          </w:tcPr>
          <w:p w14:paraId="48B32457" w14:textId="77777777" w:rsidR="0005670B" w:rsidRDefault="00296614">
            <w:r>
              <w:t>C2 — profundización por síntoma</w:t>
            </w:r>
          </w:p>
        </w:tc>
        <w:tc>
          <w:tcPr>
            <w:tcW w:w="2484" w:type="dxa"/>
          </w:tcPr>
          <w:p w14:paraId="1B85E949" w14:textId="77777777" w:rsidR="0005670B" w:rsidRDefault="00296614">
            <w:r>
              <w:t>Auditoría lo deja pendiente</w:t>
            </w:r>
          </w:p>
        </w:tc>
        <w:tc>
          <w:tcPr>
            <w:tcW w:w="2484" w:type="dxa"/>
          </w:tcPr>
          <w:p w14:paraId="7B535A86" w14:textId="77777777" w:rsidR="0005670B" w:rsidRDefault="00296614">
            <w:r>
              <w:t>Pendiente explícito, no resuelto en los documentos</w:t>
            </w:r>
          </w:p>
        </w:tc>
        <w:tc>
          <w:tcPr>
            <w:tcW w:w="2484" w:type="dxa"/>
          </w:tcPr>
          <w:p w14:paraId="47C4D20C" w14:textId="77777777" w:rsidR="0005670B" w:rsidRDefault="00296614">
            <w:r>
              <w:t>Pendiente</w:t>
            </w:r>
          </w:p>
        </w:tc>
      </w:tr>
      <w:tr w:rsidR="0005670B" w14:paraId="0C665539" w14:textId="77777777">
        <w:tc>
          <w:tcPr>
            <w:tcW w:w="2484" w:type="dxa"/>
          </w:tcPr>
          <w:p w14:paraId="71C33006" w14:textId="77777777" w:rsidR="0005670B" w:rsidRDefault="00296614">
            <w:r>
              <w:t>Conners específico</w:t>
            </w:r>
          </w:p>
        </w:tc>
        <w:tc>
          <w:tcPr>
            <w:tcW w:w="2484" w:type="dxa"/>
          </w:tcPr>
          <w:p w14:paraId="68165C39" w14:textId="77777777" w:rsidR="0005670B" w:rsidRDefault="00296614">
            <w:r>
              <w:t>PE-20 cubre escala genérica; auditoría indica falta de extracción PDF/reglas</w:t>
            </w:r>
          </w:p>
        </w:tc>
        <w:tc>
          <w:tcPr>
            <w:tcW w:w="2484" w:type="dxa"/>
          </w:tcPr>
          <w:p w14:paraId="3CDCF543" w14:textId="77777777" w:rsidR="0005670B" w:rsidRDefault="00296614">
            <w:r>
              <w:t>Se declara alcance actual y requisitos previos</w:t>
            </w:r>
          </w:p>
        </w:tc>
        <w:tc>
          <w:tcPr>
            <w:tcW w:w="2484" w:type="dxa"/>
          </w:tcPr>
          <w:p w14:paraId="03B9DD2A" w14:textId="77777777" w:rsidR="0005670B" w:rsidRDefault="00296614">
            <w:r>
              <w:t>Pendiente</w:t>
            </w:r>
          </w:p>
        </w:tc>
      </w:tr>
    </w:tbl>
    <w:p w14:paraId="4CE031B1" w14:textId="77777777" w:rsidR="0005670B" w:rsidRDefault="00296614">
      <w:pPr>
        <w:pStyle w:val="Ttulo1"/>
      </w:pPr>
      <w:r>
        <w:t>4. Evidencia técnica: alcance y límites</w:t>
      </w:r>
    </w:p>
    <w:p w14:paraId="4FDF1FCD" w14:textId="77777777" w:rsidR="0005670B" w:rsidRDefault="00296614">
      <w:r>
        <w:t>El archivo de resultados del protocolo informa 26/26 pruebas aprobadas (30-10-2026) y la auditoría del repositorio informa 82/82 pruebas de la suite existente. Entre las pruebas relevantes: PE-03, PE-04, PE-10, PE-14, PE-19, PE-20, PE-21, PE-22, PE-23, PE-24 y PE-25. La auditoría técnica registra que A1–A8 y A10 fueron corregidos; K9 establece el formato de 16 secciones; C2–C5 permanecen pendientes.</w:t>
      </w:r>
    </w:p>
    <w:p w14:paraId="3DD3E6C5" w14:textId="77777777" w:rsidR="0005670B" w:rsidRDefault="00296614">
      <w:r>
        <w:t>Estas cifras son evidencia reportada por el repositorio y no se volvieron a ejecutar en esta auditoría documental. Las pruebas verifican los escenarios cubiertos, no prueban por sí solas validez clínica externa, exactitud psicométrica universal ni integración completa de Conners.</w:t>
      </w:r>
    </w:p>
    <w:p w14:paraId="0548F19B" w14:textId="77777777" w:rsidR="0005670B" w:rsidRDefault="00296614">
      <w:pPr>
        <w:pStyle w:val="Ttulo1"/>
      </w:pPr>
      <w:r>
        <w:t>5. Pendientes y decisiones que no deben ocultarse</w:t>
      </w:r>
    </w:p>
    <w:p w14:paraId="5A697936" w14:textId="77777777" w:rsidR="0005670B" w:rsidRDefault="00296614">
      <w:r>
        <w:t>C2: el protocolo de automatización menciona frecuencia/intensidad, persistencia e impacto, mientras la profundización por síntoma implementada se describe como frecuencia, inicio y contextos, con impacto explorado a nivel general. Requiere decisión documentada del responsable y pruebas específicas.</w:t>
      </w:r>
    </w:p>
    <w:p w14:paraId="1B5BE569" w14:textId="77777777" w:rsidR="0005670B" w:rsidRDefault="00296614">
      <w:r>
        <w:t>Conners: el sistema admite conservar una escala genérica (PE-20), pero no está acreditada la extracción e interpretación automatizada de un informe Conners específico. Requiere muestra real de informe, versión/formulario, reglas de puntuación e interpretación y mapeo autorizado.</w:t>
      </w:r>
    </w:p>
    <w:p w14:paraId="2F7CA9FD" w14:textId="77777777" w:rsidR="0005670B" w:rsidRDefault="00296614">
      <w:r>
        <w:t>No se considera error que Conners no sea una cuarta fuente obligatoria: se trata de un instrumento que puede formar parte de la fuente escolar o registrarse como escala adicional, según disponibilidad.</w:t>
      </w:r>
    </w:p>
    <w:p w14:paraId="5C921544" w14:textId="77777777" w:rsidR="0005670B" w:rsidRDefault="00296614">
      <w:pPr>
        <w:pStyle w:val="Ttulo1"/>
      </w:pPr>
      <w:r>
        <w:t>6. Control cruzado final</w:t>
      </w:r>
    </w:p>
    <w:p w14:paraId="6B46C10B" w14:textId="77777777" w:rsidR="0005670B" w:rsidRDefault="00296614">
      <w:pPr>
        <w:pStyle w:val="Listaconvietas"/>
      </w:pPr>
      <w:r>
        <w:t>Modelo Maestro: estructura de 16 secciones, orden y títulos coinciden con el módulo fuente.</w:t>
      </w:r>
    </w:p>
    <w:p w14:paraId="1468C00E" w14:textId="77777777" w:rsidR="0005670B" w:rsidRDefault="00296614">
      <w:pPr>
        <w:pStyle w:val="Listaconvietas"/>
      </w:pPr>
      <w:r>
        <w:t>Modelo de salida: contiene las mismas 16 secciones en el mismo orden y conserva matrices para 18 síntomas y requisitos diagnósticos.</w:t>
      </w:r>
    </w:p>
    <w:p w14:paraId="119C92B5" w14:textId="77777777" w:rsidR="0005670B" w:rsidRDefault="00296614">
      <w:pPr>
        <w:pStyle w:val="Listaconvietas"/>
      </w:pPr>
      <w:r>
        <w:t>Ambos documentos distinguen el generador del motor y prohíben recalcular estados o validar automáticamente.</w:t>
      </w:r>
    </w:p>
    <w:p w14:paraId="3EB4F761" w14:textId="77777777" w:rsidR="0005670B" w:rsidRDefault="00296614">
      <w:pPr>
        <w:pStyle w:val="Listaconvietas"/>
      </w:pPr>
      <w:r>
        <w:t>Ambos documentos preservan separación de fuentes, discrepancias, trazabilidad y límites de instrumentos.</w:t>
      </w:r>
    </w:p>
    <w:p w14:paraId="3F8324F9" w14:textId="77777777" w:rsidR="0005670B" w:rsidRDefault="00296614">
      <w:pPr>
        <w:pStyle w:val="Listaconvietas"/>
      </w:pPr>
      <w:r>
        <w:t>Ambos documentos identifican síntesis educativa separada.</w:t>
      </w:r>
    </w:p>
    <w:p w14:paraId="252E2B0B" w14:textId="77777777" w:rsidR="0005670B" w:rsidRDefault="00296614">
      <w:pPr>
        <w:pStyle w:val="Listaconvietas"/>
      </w:pPr>
      <w:r>
        <w:t>Los pendientes C2 y Conners están visibles y no se presentan como resueltos.</w:t>
      </w:r>
    </w:p>
    <w:p w14:paraId="7735FC84" w14:textId="77777777" w:rsidR="0005670B" w:rsidRDefault="00296614">
      <w:pPr>
        <w:pStyle w:val="Listaconvietas"/>
      </w:pPr>
      <w:r>
        <w:t>Etapas 1–9 no fueron modificadas.</w:t>
      </w:r>
    </w:p>
    <w:p w14:paraId="6D2544A5" w14:textId="77777777" w:rsidR="0005670B" w:rsidRDefault="00296614">
      <w:pPr>
        <w:pStyle w:val="Ttulo1"/>
      </w:pPr>
      <w:r>
        <w:t>7. Veredicto de cierre</w:t>
      </w:r>
    </w:p>
    <w:p w14:paraId="49C74EF9" w14:textId="77777777" w:rsidR="0005670B" w:rsidRDefault="00296614">
      <w:r>
        <w:t xml:space="preserve">CIERRE DOCUMENTAL: APROBADO CON PENDIENTES EXPLÍCITOS. Los dos documentos corregidos quedan alineados en estructura y responsabilidades para ser entregados al programador. No corresponde declarar cerrado el desarrollo funcional de C2 ni la integración específica de Conners. Estos pendientes no impiden corregir ahora la </w:t>
      </w:r>
      <w:r>
        <w:lastRenderedPageBreak/>
        <w:t>documentación de generación, pero sí impiden afirmar que esas dos capacidades estén completamente implementadas.</w:t>
      </w:r>
    </w:p>
    <w:p w14:paraId="7E2D88FC" w14:textId="77777777" w:rsidR="0005670B" w:rsidRDefault="00296614">
      <w:r>
        <w:t>No se identifican otros defectos estructurales en el alcance documental revisado que justifiquen reabrir la arquitectura clínica. Cualquier cambio posterior debe justificarse con evidencia nueva y revisarse por impacto.</w:t>
      </w:r>
    </w:p>
    <w:sectPr w:rsidR="0005670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334917">
    <w:abstractNumId w:val="8"/>
  </w:num>
  <w:num w:numId="2" w16cid:durableId="645163701">
    <w:abstractNumId w:val="6"/>
  </w:num>
  <w:num w:numId="3" w16cid:durableId="1255940232">
    <w:abstractNumId w:val="5"/>
  </w:num>
  <w:num w:numId="4" w16cid:durableId="1667051805">
    <w:abstractNumId w:val="4"/>
  </w:num>
  <w:num w:numId="5" w16cid:durableId="1125929444">
    <w:abstractNumId w:val="7"/>
  </w:num>
  <w:num w:numId="6" w16cid:durableId="278145642">
    <w:abstractNumId w:val="3"/>
  </w:num>
  <w:num w:numId="7" w16cid:durableId="20666608">
    <w:abstractNumId w:val="2"/>
  </w:num>
  <w:num w:numId="8" w16cid:durableId="1592347516">
    <w:abstractNumId w:val="1"/>
  </w:num>
  <w:num w:numId="9" w16cid:durableId="1875918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70B"/>
    <w:rsid w:val="0006063C"/>
    <w:rsid w:val="0015074B"/>
    <w:rsid w:val="0029639D"/>
    <w:rsid w:val="00296614"/>
    <w:rsid w:val="00326F90"/>
    <w:rsid w:val="00644A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070B55"/>
  <w14:defaultImageDpi w14:val="300"/>
  <w15:docId w15:val="{3BFB2B79-10ED-4AD9-B981-DD59E2F5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869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 Denisse Florido Cid</cp:lastModifiedBy>
  <cp:revision>2</cp:revision>
  <dcterms:created xsi:type="dcterms:W3CDTF">2026-10-30T17:31:00Z</dcterms:created>
  <dcterms:modified xsi:type="dcterms:W3CDTF">2026-10-30T17:31:00Z</dcterms:modified>
  <cp:category/>
</cp:coreProperties>
</file>