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Bitácora de Aprendizaje: Autocheck Módulo 1 - Bloque 5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14 de mayo de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Estatus:</w:t>
      </w:r>
      <w:r w:rsidDel="00000000" w:rsidR="00000000" w:rsidRPr="00000000">
        <w:rPr>
          <w:rtl w:val="0"/>
        </w:rPr>
        <w:t xml:space="preserve"> Finalización de la Unidad de Cómputo (Cloud Computing Services)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Evolución del Autocheck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 proceso de aprendizaje durante este módulo ha pasado de la comprensión teórica a la aplicación de criterios de arquitectura real. Se identificó una progresión clara desde la identificación básica de servicios hasta la capacidad de discernir entre opciones basadas en restricciones de negocio y costos.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Análisis de Resultados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Fase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Resultado / Hallazgo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 Inicial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Confusión leve entre tipos de VMs (Uso General vs. Optimizada para Memoria) bajo presión de examen.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Refuerzo Técnico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Consolidación de conceptos Serverless (Functions) frente a PaaS (App Service).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 de Escenario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Resolución exitosa del caso "Tailwind Traders", priorizando el ahorro de costos y la eficiencia energética.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Reflexión Estratégica (Módulo 1)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arquitectura de soluciones no se trata solo de elegir el servicio con más potencia, sino el que ofrece el equilibrio exacto entre: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Costo Operativo:</w:t>
      </w:r>
      <w:r w:rsidDel="00000000" w:rsidR="00000000" w:rsidRPr="00000000">
        <w:rPr>
          <w:rtl w:val="0"/>
        </w:rPr>
        <w:t xml:space="preserve"> Evitar el desperdicio de recursos (pago por uso vs. servidores encendidos 24/7).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Sostenibilidad:</w:t>
      </w:r>
      <w:r w:rsidDel="00000000" w:rsidR="00000000" w:rsidRPr="00000000">
        <w:rPr>
          <w:rtl w:val="0"/>
        </w:rPr>
        <w:t xml:space="preserve"> Considerar el impacto ambiental (enfriamiento y energía) como factor de decisión técnica.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Capacidad de reaccionar a eventos en tiempo real sin intervención humana.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Impacto en el Mercado Profesional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Se observa una correlación directa entre el dominio de estos conceptos y el interés generado en perfiles de reclutamiento de empresas líderes (NVIDIA, HPE). La honestidad técnica y la validación de expertos externos actúan como catalizadores en la construcción de la marca personal como Arquitecto de Soluciones.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"La eficiencia técnica es el lenguaje universal del arquitecto."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