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Bitácora de Ingeniería: Control de IA y Precisión en la Arquitectura de Prompts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Fecha:</w:t>
      </w:r>
      <w:r w:rsidDel="00000000" w:rsidR="00000000" w:rsidRPr="00000000">
        <w:rPr>
          <w:rtl w:val="0"/>
        </w:rPr>
        <w:t xml:space="preserve"> 17 de mayo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Proyecto:</w:t>
      </w:r>
      <w:r w:rsidDel="00000000" w:rsidR="00000000" w:rsidRPr="00000000">
        <w:rPr>
          <w:rtl w:val="0"/>
        </w:rPr>
        <w:t xml:space="preserve"> Tesis HPR - Arquitectura de Soluciones / IA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del Incidente: El "Factor Delirio"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Durante el proceso de generación de la representación visual para la Arquitectura de Nodos Indexados, se identificó un comportamiento divergente en el modelo de IA generativa. La interacción inicial resultó en una respuesta genérica, superficial y carente de rigor técnico, descrita como una "tomada de pelo" o "delirio" por la falta de alineación con los requisitos de ingeniería del proyecto.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Metodología de Corrección: Inyección de Instrucción Directa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Se aplicó una técnica de refinamiento iterativo basada en conceptos de </w:t>
      </w:r>
      <w:r w:rsidDel="00000000" w:rsidR="00000000" w:rsidRPr="00000000">
        <w:rPr>
          <w:b w:val="1"/>
          <w:bCs w:val="1"/>
          <w:rtl w:val="0"/>
        </w:rPr>
        <w:t xml:space="preserve">Google Colab</w:t>
      </w:r>
      <w:r w:rsidDel="00000000" w:rsidR="00000000" w:rsidRPr="00000000">
        <w:rPr>
          <w:rtl w:val="0"/>
        </w:rPr>
        <w:t xml:space="preserve"> para auditar y redirigir el comportamiento del modelo. Los puntos clave de la intervención fueron: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Identificación del Error:</w:t>
      </w:r>
      <w:r w:rsidDel="00000000" w:rsidR="00000000" w:rsidRPr="00000000">
        <w:rPr>
          <w:rtl w:val="0"/>
        </w:rPr>
        <w:t xml:space="preserve"> Categorización de la salida previa como "alucinación" o "criterio de delirio".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Ajuste de Parámetros Semánticos:</w:t>
      </w:r>
      <w:r w:rsidDel="00000000" w:rsidR="00000000" w:rsidRPr="00000000">
        <w:rPr>
          <w:rtl w:val="0"/>
        </w:rPr>
        <w:t xml:space="preserve"> Uso de lenguaje de autoridad técnica para forzar al modelo a abandonar la capa creativa superficial y activar la capa de precisión determinista.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Aislamiento de Tarea:</w:t>
      </w:r>
      <w:r w:rsidDel="00000000" w:rsidR="00000000" w:rsidRPr="00000000">
        <w:rPr>
          <w:rtl w:val="0"/>
        </w:rPr>
        <w:t xml:space="preserve"> Eliminación de opiniones del modelo para centrar el procesamiento exclusivamente en la ejecución del </w:t>
      </w:r>
      <w:r w:rsidDel="00000000" w:rsidR="00000000" w:rsidRPr="00000000">
        <w:rPr>
          <w:i w:val="1"/>
          <w:iCs w:val="1"/>
          <w:rtl w:val="0"/>
        </w:rPr>
        <w:t xml:space="preserve">blueprint</w:t>
      </w:r>
      <w:r w:rsidDel="00000000" w:rsidR="00000000" w:rsidRPr="00000000">
        <w:rPr>
          <w:rtl w:val="0"/>
        </w:rPr>
        <w:t xml:space="preserve"> técnico.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Análisis del Resultado Final (Blueprint de Ingeniería)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transición del estado de "delirio" al estado de "precisión" permitió obtener un entregable de alto nivel con las siguientes características: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Atributo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Descripción Técnica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Núcleo (Core)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Representado como un búnker de datos blindado, fuente única de la verdad.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Topología de Red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Esquema de tela de araña indexada con nodos de alta disponibilidad (Resiliencia, IA, Cloud).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Propiedad Intelectual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Estética de manifiesto tecnológico alineado con la Tesis HPR.</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Conclusiones para la Tesis HPR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Este ejercicio demuestra que la verdadera arquitectura de soluciones en la era de la IA no reside solo en la generación, sino en la capacidad del arquitecto para </w:t>
      </w:r>
      <w:r w:rsidDel="00000000" w:rsidR="00000000" w:rsidRPr="00000000">
        <w:rPr>
          <w:b w:val="1"/>
          <w:bCs w:val="1"/>
          <w:rtl w:val="0"/>
        </w:rPr>
        <w:t xml:space="preserve">auditar y comandar</w:t>
      </w:r>
      <w:r w:rsidDel="00000000" w:rsidR="00000000" w:rsidRPr="00000000">
        <w:rPr>
          <w:rtl w:val="0"/>
        </w:rPr>
        <w:t xml:space="preserve"> los sistemas. El conocimiento de la mecánica interna de los modelos (formación en Colab) permite al humano actuar como el "acceso de root" en la interacción hombre-máquina, garantizando que la tecnología sea una herramienta de precisión y no una fuente de ruido.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