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Bitácora de Ingeniería y Desarrollo: Proyecto HPR (Diario Técnico)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Autor:</w:t>
      </w:r>
      <w:r w:rsidDel="00000000" w:rsidR="00000000" w:rsidRPr="00000000">
        <w:rPr>
          <w:rtl w:val="0"/>
        </w:rPr>
        <w:t xml:space="preserve"> Diego Rivero De Sosa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Fecha de creación:</w:t>
      </w:r>
      <w:r w:rsidDel="00000000" w:rsidR="00000000" w:rsidRPr="00000000">
        <w:rPr>
          <w:rtl w:val="0"/>
        </w:rPr>
        <w:t xml:space="preserve"> 16 de mayo de 2026</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Línea de Investigación:</w:t>
      </w:r>
      <w:r w:rsidDel="00000000" w:rsidR="00000000" w:rsidRPr="00000000">
        <w:rPr>
          <w:rtl w:val="0"/>
        </w:rPr>
        <w:t xml:space="preserve"> Arquitectura de Soluciones de Alta Disponibilidad y Resiliencia en el Edge.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Entrada #05 | 16 de Mayo de 2026: Definición de Fase Teórica y Validación Ecosistémica</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Estado del Proyecto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proyecto se consolida formalmente en su </w:t>
      </w:r>
      <w:r w:rsidDel="00000000" w:rsidR="00000000" w:rsidRPr="00000000">
        <w:rPr>
          <w:b w:val="1"/>
          <w:bCs w:val="1"/>
          <w:rtl w:val="0"/>
        </w:rPr>
        <w:t xml:space="preserve">Fase Teórica de Pruebas</w:t>
      </w:r>
      <w:r w:rsidDel="00000000" w:rsidR="00000000" w:rsidRPr="00000000">
        <w:rPr>
          <w:rtl w:val="0"/>
        </w:rPr>
        <w:t xml:space="preserve">. Esta etapa es crítica para establecer los fundamentos lógicos de la orquestación de datos antes de la ejecución en hardware físico.</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Objetivo Estratégico: El Factor Ecosistémico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investigación ha identificado una oportunidad disruptiva en el mercado de hardware actual. El enfoque se centra en demostrar la viabilidad de la arquitectura HPR utilizando la capacidad latente del parque informático preexistente.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Componente</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Función en la Fase Teórica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Costo de Inversión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b w:val="1"/>
                <w:bCs w:val="1"/>
                <w:rtl w:val="0"/>
              </w:rPr>
              <w:t xml:space="preserve">Zero Capex (0).</w:t>
            </w:r>
            <w:r w:rsidDel="00000000" w:rsidR="00000000" w:rsidRPr="00000000">
              <w:rPr>
                <w:rtl w:val="0"/>
              </w:rPr>
              <w:t xml:space="preserve"> Uso de estaciones de trabajo portátiles actuales.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Infraestructura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Hardware distribuido (Laptops con arquitectura NVIDIA Blackwell).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Riesgo Técnico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Fonts w:ascii="Arial Unicode MS" w:cs="Arial Unicode MS" w:eastAsia="Arial Unicode MS" w:hAnsi="Arial Unicode MS"/>
                <w:rtl w:val="0"/>
              </w:rPr>
              <w:t xml:space="preserve">Muy bajo/Nulo. Validación lógica de orquestación CPU ↔ NPU ↔ GPU.</w:t>
            </w:r>
          </w:p>
        </w:tc>
      </w:tr>
    </w:tbl>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Innovación en la Orquestación Local</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Se postula teóricamente que la </w:t>
      </w:r>
      <w:r w:rsidDel="00000000" w:rsidR="00000000" w:rsidRPr="00000000">
        <w:rPr>
          <w:b w:val="1"/>
          <w:bCs w:val="1"/>
          <w:rtl w:val="0"/>
        </w:rPr>
        <w:t xml:space="preserve">NPU (Neural Processing Unit)</w:t>
      </w:r>
      <w:r w:rsidDel="00000000" w:rsidR="00000000" w:rsidRPr="00000000">
        <w:rPr>
          <w:rtl w:val="0"/>
        </w:rPr>
        <w:t xml:space="preserve"> operará como el nodo de control de flujo dinámico. Este diseño busca optimizar el uso de la VRAM y reducir la latencia de respuesta, permitiendo que la laptop funcione como un nodo de alta disponibilidad (High Availability) independiente de la estabilidad de la red externa.</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Conclusión de la Etapa</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Definir esta etapa como una </w:t>
      </w:r>
      <w:r w:rsidDel="00000000" w:rsidR="00000000" w:rsidRPr="00000000">
        <w:rPr>
          <w:i w:val="1"/>
          <w:iCs w:val="1"/>
          <w:rtl w:val="0"/>
        </w:rPr>
        <w:t xml:space="preserve">Fase Teórica</w:t>
      </w:r>
      <w:r w:rsidDel="00000000" w:rsidR="00000000" w:rsidRPr="00000000">
        <w:rPr>
          <w:rtl w:val="0"/>
        </w:rPr>
        <w:t xml:space="preserve"> permite blindar la propiedad intelectual del diseño y presentar un modelo de negocio altamente atractivo para socios estratégicos (como HP), donde la escalabilidad y la rentabilidad son las métricas principales.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i w:val="1"/>
          <w:iCs w:val="1"/>
        </w:rPr>
      </w:pPr>
      <w:r w:rsidDel="00000000" w:rsidR="00000000" w:rsidRPr="00000000">
        <w:pict>
          <v:rect style="width:0.0pt;height:1.5pt" o:hr="t" o:hrstd="t" o:hralign="center" fillcolor="#A0A0A0" stroked="f"/>
        </w:pict>
      </w:r>
      <w:r w:rsidDel="00000000" w:rsidR="00000000" w:rsidRPr="00000000">
        <w:rPr>
          <w:i w:val="1"/>
          <w:iCs w:val="1"/>
          <w:rtl w:val="0"/>
        </w:rPr>
        <w:t xml:space="preserve">Documento generado como registro oficial del progreso técnico y estratégico de la Tesis HPR.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