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Bitácora de Ingeniería y Desarrollo: Proyecto HPR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Autor:</w:t>
      </w:r>
      <w:r w:rsidDel="00000000" w:rsidR="00000000" w:rsidRPr="00000000">
        <w:rPr>
          <w:rtl w:val="0"/>
        </w:rPr>
        <w:t xml:space="preserve"> Diego Rivero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Ubicación:</w:t>
      </w:r>
      <w:r w:rsidDel="00000000" w:rsidR="00000000" w:rsidRPr="00000000">
        <w:rPr>
          <w:rtl w:val="0"/>
        </w:rPr>
        <w:t xml:space="preserve"> Maldonado, Uruguay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Este documento constituye el diario técnico de investigación y desarrollo para la arquitectura High Performance Resurgence (HPR). Cada entrada registra el momento exacto del hallazgo, el análisis lógico aplicado y la resolución técnica integrada a la arquitectura final.</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Entrada #01 | Marzo de 2026: La Piedra Angular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Contexto:</w:t>
      </w:r>
      <w:r w:rsidDel="00000000" w:rsidR="00000000" w:rsidRPr="00000000">
        <w:rPr>
          <w:rtl w:val="0"/>
        </w:rPr>
        <w:t xml:space="preserve"> Durante las primeras sesiones de diseño de la marca y la estructura del proyecto.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 Hallazgo:</w:t>
      </w:r>
      <w:r w:rsidDel="00000000" w:rsidR="00000000" w:rsidRPr="00000000">
        <w:rPr>
          <w:rtl w:val="0"/>
        </w:rPr>
        <w:t xml:space="preserve"> Al analizar el rendimiento de componentes de última generación, como la RTX 5050, me di cuenta de que la potencia bruta es estéril sin un ecosistema que la gobierne. La fragmentación entre el sistema operativo y los drivers es el primer muro a derribar.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Decisión Técnica:</w:t>
      </w:r>
      <w:r w:rsidDel="00000000" w:rsidR="00000000" w:rsidRPr="00000000">
        <w:rPr>
          <w:rtl w:val="0"/>
        </w:rPr>
        <w:t xml:space="preserve"> He decidido establecer el </w:t>
      </w:r>
      <w:r w:rsidDel="00000000" w:rsidR="00000000" w:rsidRPr="00000000">
        <w:rPr>
          <w:b w:val="1"/>
          <w:bCs w:val="1"/>
          <w:rtl w:val="0"/>
        </w:rPr>
        <w:t xml:space="preserve">Factor Ecosistémico</w:t>
      </w:r>
      <w:r w:rsidDel="00000000" w:rsidR="00000000" w:rsidRPr="00000000">
        <w:rPr>
          <w:rtl w:val="0"/>
        </w:rPr>
        <w:t xml:space="preserve"> como el primer punto excluyente. No basta con instalar hardware; hay que crear una sinergia donde el software "hable" el mismo idioma que el silicio.</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Entrada #02 | Abril de 2026: El Cambio de Mentalidad Industrial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Contexto:</w:t>
      </w:r>
      <w:r w:rsidDel="00000000" w:rsidR="00000000" w:rsidRPr="00000000">
        <w:rPr>
          <w:rtl w:val="0"/>
        </w:rPr>
        <w:t xml:space="preserve"> En pleno estudio de estándares de disponibilidad y resiliencia empresarial.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 Hallazgo:</w:t>
      </w:r>
      <w:r w:rsidDel="00000000" w:rsidR="00000000" w:rsidRPr="00000000">
        <w:rPr>
          <w:rtl w:val="0"/>
        </w:rPr>
        <w:t xml:space="preserve"> Al estudiar cómo las grandes corporaciones gestionan sus datos, comprendí que la fotografía y el catering no son solo servicios, sino flujos de datos que requieren continuidad. ¿Qué pasa si el sistema falla?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Decisión Técnica:</w:t>
      </w:r>
      <w:r w:rsidDel="00000000" w:rsidR="00000000" w:rsidRPr="00000000">
        <w:rPr>
          <w:rtl w:val="0"/>
        </w:rPr>
        <w:t xml:space="preserve"> Integré las métricas </w:t>
      </w:r>
      <w:r w:rsidDel="00000000" w:rsidR="00000000" w:rsidRPr="00000000">
        <w:rPr>
          <w:b w:val="1"/>
          <w:bCs w:val="1"/>
          <w:rtl w:val="0"/>
        </w:rPr>
        <w:t xml:space="preserve">MTTR</w:t>
      </w:r>
      <w:r w:rsidDel="00000000" w:rsidR="00000000" w:rsidRPr="00000000">
        <w:rPr>
          <w:rtl w:val="0"/>
        </w:rPr>
        <w:t xml:space="preserve"> y </w:t>
      </w:r>
      <w:r w:rsidDel="00000000" w:rsidR="00000000" w:rsidRPr="00000000">
        <w:rPr>
          <w:b w:val="1"/>
          <w:bCs w:val="1"/>
          <w:rtl w:val="0"/>
        </w:rPr>
        <w:t xml:space="preserve">RPO</w:t>
      </w:r>
      <w:r w:rsidDel="00000000" w:rsidR="00000000" w:rsidRPr="00000000">
        <w:rPr>
          <w:rtl w:val="0"/>
        </w:rPr>
        <w:t xml:space="preserve">. Además, redacté la "Cláusula de Transparencia". HPR deja de ser solo un "ajuste técnico" para convertirse en una metodología de investigación formal.</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Entrada #03 | Mayo de 2026: El Salto a la Inteligencia Predictiva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Contexto:</w:t>
      </w:r>
      <w:r w:rsidDel="00000000" w:rsidR="00000000" w:rsidRPr="00000000">
        <w:rPr>
          <w:rtl w:val="0"/>
        </w:rPr>
        <w:t xml:space="preserve"> Finalizando el Bloque 4 de Microsoft Learn (Arquitectura de Datos).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 Hallazgo:</w:t>
      </w:r>
      <w:r w:rsidDel="00000000" w:rsidR="00000000" w:rsidRPr="00000000">
        <w:rPr>
          <w:rtl w:val="0"/>
        </w:rPr>
        <w:t xml:space="preserve"> Hoy, revisando los modelos de Machine Learning y aprendizaje automático, me percaté de que un sistema que reacciona a una orden siempre llegará tarde. Para que HPR sea verdaderamente superior, debe saber qué va a pasar antes de que suceda.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Decisión Técnica:</w:t>
      </w:r>
      <w:r w:rsidDel="00000000" w:rsidR="00000000" w:rsidRPr="00000000">
        <w:rPr>
          <w:rtl w:val="0"/>
        </w:rPr>
        <w:t xml:space="preserve"> Introducción de la </w:t>
      </w:r>
      <w:r w:rsidDel="00000000" w:rsidR="00000000" w:rsidRPr="00000000">
        <w:rPr>
          <w:b w:val="1"/>
          <w:bCs w:val="1"/>
          <w:rtl w:val="0"/>
        </w:rPr>
        <w:t xml:space="preserve">Predicción Conductual</w:t>
      </w:r>
      <w:r w:rsidDel="00000000" w:rsidR="00000000" w:rsidRPr="00000000">
        <w:rPr>
          <w:rtl w:val="0"/>
        </w:rPr>
        <w:t xml:space="preserve">. Se define que el sistema debe analizar patrones de flujo para adelantarse a los cuellos de botella.</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Entrada #04 | 12 de Mayo de 2026: La Revelación del Cómputo Heterogéneo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Contexto:</w:t>
      </w:r>
      <w:r w:rsidDel="00000000" w:rsidR="00000000" w:rsidRPr="00000000">
        <w:rPr>
          <w:rtl w:val="0"/>
        </w:rPr>
        <w:t xml:space="preserve"> Sesión de estudio actual sobre optimización de bajo nivel.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 Hallazgo:</w:t>
      </w:r>
      <w:r w:rsidDel="00000000" w:rsidR="00000000" w:rsidRPr="00000000">
        <w:rPr>
          <w:rtl w:val="0"/>
        </w:rPr>
        <w:t xml:space="preserve"> Al profundizar en la carga de trabajo, identifiqué que pedirle a la GPU que renderice y que también "piense" el siguiente movimiento es un error de diseño homogéneo. Es como intentar cocinar y atender mesas al mismo tiempo.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Decisión Técnica:</w:t>
      </w:r>
      <w:r w:rsidDel="00000000" w:rsidR="00000000" w:rsidRPr="00000000">
        <w:rPr>
          <w:rtl w:val="0"/>
        </w:rPr>
        <w:t xml:space="preserve"> Establezco el </w:t>
      </w:r>
      <w:r w:rsidDel="00000000" w:rsidR="00000000" w:rsidRPr="00000000">
        <w:rPr>
          <w:b w:val="1"/>
          <w:bCs w:val="1"/>
          <w:rtl w:val="0"/>
        </w:rPr>
        <w:t xml:space="preserve">Cómputo Heterogéneo (GPU + NPU)</w:t>
      </w:r>
      <w:r w:rsidDel="00000000" w:rsidR="00000000" w:rsidRPr="00000000">
        <w:rPr>
          <w:rtl w:val="0"/>
        </w:rPr>
        <w:t xml:space="preserve"> como factor excluyente estructural. La NPU se encargará exclusivamente de la lógica de </w:t>
      </w:r>
      <w:r w:rsidDel="00000000" w:rsidR="00000000" w:rsidRPr="00000000">
        <w:rPr>
          <w:b w:val="1"/>
          <w:bCs w:val="1"/>
          <w:rtl w:val="0"/>
        </w:rPr>
        <w:t xml:space="preserve">Precarga Activa</w:t>
      </w:r>
      <w:r w:rsidDel="00000000" w:rsidR="00000000" w:rsidRPr="00000000">
        <w:rPr>
          <w:rtl w:val="0"/>
        </w:rPr>
        <w:t xml:space="preserve">, dejando que la GPU se enfoque al 100% en el rendimiento visual.</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Registro de Nuevos Hallazgos (Pendiente de Actualización)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Esta sección se reserva para las futuras entradas a medida que avancemos en los bloques de estudio y validación técnica.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