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Bitácoras de Evolución Arquitectónica - Proyecto HPR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Responsable:</w:t>
      </w:r>
      <w:r w:rsidDel="00000000" w:rsidR="00000000" w:rsidRPr="00000000">
        <w:rPr>
          <w:rtl w:val="0"/>
        </w:rPr>
        <w:t xml:space="preserve"> Diego Rivero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Registro técnico cronológico de la evolución de la arquitectura High Performance Resurgence, fundamentado en la integración de soluciones de arquitectura de datos y optimización de hardware.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Bitácora #01: Cimientos y el Factor Ecosistémico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Periodo:</w:t>
      </w:r>
      <w:r w:rsidDel="00000000" w:rsidR="00000000" w:rsidRPr="00000000">
        <w:rPr>
          <w:rtl w:val="0"/>
        </w:rPr>
        <w:t xml:space="preserve"> Marzo 2026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Hito Técnico:</w:t>
      </w:r>
      <w:r w:rsidDel="00000000" w:rsidR="00000000" w:rsidRPr="00000000">
        <w:rPr>
          <w:rtl w:val="0"/>
        </w:rPr>
        <w:t xml:space="preserve"> Definición de la Estructura Sólida V2.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Se identificó que la potencia bruta del hardware es insuficiente sin una optimización de software. Se estableció el </w:t>
      </w:r>
      <w:r w:rsidDel="00000000" w:rsidR="00000000" w:rsidRPr="00000000">
        <w:rPr>
          <w:b w:val="1"/>
          <w:bCs w:val="1"/>
          <w:rtl w:val="0"/>
        </w:rPr>
        <w:t xml:space="preserve">Factor Ecosistémico</w:t>
      </w:r>
      <w:r w:rsidDel="00000000" w:rsidR="00000000" w:rsidRPr="00000000">
        <w:rPr>
          <w:rtl w:val="0"/>
        </w:rPr>
        <w:t xml:space="preserve"> como punto excluyente, enfocándose en la sinergia entre drivers, sistema operativo y recursos locales (como la optimización del RTX 5050 y procesadores Ryzen).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Consolidado.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Bitácora #02: Industrialización y Métricas de Resiliencia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Periodo:</w:t>
      </w:r>
      <w:r w:rsidDel="00000000" w:rsidR="00000000" w:rsidRPr="00000000">
        <w:rPr>
          <w:rtl w:val="0"/>
        </w:rPr>
        <w:t xml:space="preserve"> Abril 2026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Hito Técnico:</w:t>
      </w:r>
      <w:r w:rsidDel="00000000" w:rsidR="00000000" w:rsidRPr="00000000">
        <w:rPr>
          <w:rtl w:val="0"/>
        </w:rPr>
        <w:t xml:space="preserve"> Aplicación de estándares de disponibilidad de nivel empresarial.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Se introdujeron métricas de recuperación industrial (MTTR y RPO) al modelo HPR. Se definió la "Cláusula de Transparencia" para posicionar el proyecto como una investigación técnica rigurosa. El enfoque viró hacia la alta disponibilidad de los servicios de catering y fotografía integrados bajo una estructura de procesos cloud.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Implementado.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Bitácora #03: Inteligencia de Datos y Predicción Conductual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Periodo:</w:t>
      </w:r>
      <w:r w:rsidDel="00000000" w:rsidR="00000000" w:rsidRPr="00000000">
        <w:rPr>
          <w:rtl w:val="0"/>
        </w:rPr>
        <w:t xml:space="preserve"> Mayo 2026 (Inicios)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Hito Técnico:</w:t>
      </w:r>
      <w:r w:rsidDel="00000000" w:rsidR="00000000" w:rsidRPr="00000000">
        <w:rPr>
          <w:rtl w:val="0"/>
        </w:rPr>
        <w:t xml:space="preserve"> Integración del Bloque 4 de Arquitectura de Datos.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Tras el estudio de modelos de aprendizaje automático, se propuso la </w:t>
      </w:r>
      <w:r w:rsidDel="00000000" w:rsidR="00000000" w:rsidRPr="00000000">
        <w:rPr>
          <w:b w:val="1"/>
          <w:bCs w:val="1"/>
          <w:rtl w:val="0"/>
        </w:rPr>
        <w:t xml:space="preserve">Predicción Conductual</w:t>
      </w:r>
      <w:r w:rsidDel="00000000" w:rsidR="00000000" w:rsidRPr="00000000">
        <w:rPr>
          <w:rtl w:val="0"/>
        </w:rPr>
        <w:t xml:space="preserve">. Se determinó que el sistema debe ser proactivo, utilizando los datos históricos para anticipar cuellos de botella en el flujo de renderizado y procesamiento.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En desarrollo.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Bitácora #04: Convergencia Heterogénea y Precarga Activa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Periodo:</w:t>
      </w:r>
      <w:r w:rsidDel="00000000" w:rsidR="00000000" w:rsidRPr="00000000">
        <w:rPr>
          <w:rtl w:val="0"/>
        </w:rPr>
        <w:t xml:space="preserve"> Mayo 2026 (Actual)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Hito Técnico:</w:t>
      </w:r>
      <w:r w:rsidDel="00000000" w:rsidR="00000000" w:rsidRPr="00000000">
        <w:rPr>
          <w:rtl w:val="0"/>
        </w:rPr>
        <w:t xml:space="preserve"> Evolución hacia el Cómputo Heterogéneo.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Análisis:</w:t>
      </w:r>
      <w:r w:rsidDel="00000000" w:rsidR="00000000" w:rsidRPr="00000000">
        <w:rPr>
          <w:rtl w:val="0"/>
        </w:rPr>
        <w:t xml:space="preserve"> Decisión crítica de separar los planos de trabajo. Se establece el </w:t>
      </w:r>
      <w:r w:rsidDel="00000000" w:rsidR="00000000" w:rsidRPr="00000000">
        <w:rPr>
          <w:b w:val="1"/>
          <w:bCs w:val="1"/>
          <w:rtl w:val="0"/>
        </w:rPr>
        <w:t xml:space="preserve">Cómputo Heterogéneo (GPU + NPU)</w:t>
      </w:r>
      <w:r w:rsidDel="00000000" w:rsidR="00000000" w:rsidRPr="00000000">
        <w:rPr>
          <w:rtl w:val="0"/>
        </w:rPr>
        <w:t xml:space="preserve"> como factor excluyente estructural. Se delega la lógica de predicción a la NPU para viabilizar la </w:t>
      </w:r>
      <w:r w:rsidDel="00000000" w:rsidR="00000000" w:rsidRPr="00000000">
        <w:rPr>
          <w:b w:val="1"/>
          <w:bCs w:val="1"/>
          <w:rtl w:val="0"/>
        </w:rPr>
        <w:t xml:space="preserve">Precarga Activa</w:t>
      </w:r>
      <w:r w:rsidDel="00000000" w:rsidR="00000000" w:rsidRPr="00000000">
        <w:rPr>
          <w:rtl w:val="0"/>
        </w:rPr>
        <w:t xml:space="preserve"> de texturas en la VRAM, permitiendo que la GPU opere sin latencias de carga.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Fase de diseño avanzado.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Este registro de bitácoras constituye la evidencia de trazabilidad para la defensa técnica de la tesis HPR.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