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Bitácora de Cierre - Formación en IA y Arquitectura Cloud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15 de Mayo de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Hora de finalización:</w:t>
      </w:r>
      <w:r w:rsidDel="00000000" w:rsidR="00000000" w:rsidRPr="00000000">
        <w:rPr>
          <w:rtl w:val="0"/>
        </w:rPr>
        <w:t xml:space="preserve"> 22:22 hs.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Maldonado, Uruguay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Resumen de la Jornada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ha completado una fase crítica de refuerzo conceptual dentro de la ruta de </w:t>
      </w:r>
      <w:r w:rsidDel="00000000" w:rsidR="00000000" w:rsidRPr="00000000">
        <w:rPr>
          <w:b w:val="1"/>
          <w:bCs w:val="1"/>
          <w:rtl w:val="0"/>
        </w:rPr>
        <w:t xml:space="preserve">Solution Architecture</w:t>
      </w:r>
      <w:r w:rsidDel="00000000" w:rsidR="00000000" w:rsidRPr="00000000">
        <w:rPr>
          <w:rtl w:val="0"/>
        </w:rPr>
        <w:t xml:space="preserve">. Durante esta jornada, se realizó un pivot estratégico desde el ecosistema Azure hacia </w:t>
      </w:r>
      <w:r w:rsidDel="00000000" w:rsidR="00000000" w:rsidRPr="00000000">
        <w:rPr>
          <w:b w:val="1"/>
          <w:bCs w:val="1"/>
          <w:rtl w:val="0"/>
        </w:rPr>
        <w:t xml:space="preserve">Google Cloud</w:t>
      </w:r>
      <w:r w:rsidDel="00000000" w:rsidR="00000000" w:rsidRPr="00000000">
        <w:rPr>
          <w:rtl w:val="0"/>
        </w:rPr>
        <w:t xml:space="preserve">, logrando un dominio total (100% de efectividad en evaluaciones) en los fundamentos de la inteligencia artificial moderna.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Hito Alcanzado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 Técnica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Resultado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Introducción a la IA Generativa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Estudio de modelos probabilísticos y creación de contenido sintético.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100% Correcto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Introducción a LLMs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Profundización en redes neuronales, parámetros y arquitectura Transformer.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100% Correcto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 Impacto en la Tesis HPR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integración de estos módulos no solo representa la obtención de insignias, sino que constituye un avance estructural para el desarrollo de la </w:t>
      </w:r>
      <w:r w:rsidDel="00000000" w:rsidR="00000000" w:rsidRPr="00000000">
        <w:rPr>
          <w:b w:val="1"/>
          <w:bCs w:val="1"/>
          <w:rtl w:val="0"/>
        </w:rPr>
        <w:t xml:space="preserve">Tesis HPR</w:t>
      </w:r>
      <w:r w:rsidDel="00000000" w:rsidR="00000000" w:rsidRPr="00000000">
        <w:rPr>
          <w:rtl w:val="0"/>
        </w:rPr>
        <w:t xml:space="preserve"> en los siguientes puntos: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Fundamentación Teórica:</w:t>
      </w:r>
      <w:r w:rsidDel="00000000" w:rsidR="00000000" w:rsidRPr="00000000">
        <w:rPr>
          <w:rtl w:val="0"/>
        </w:rPr>
        <w:t xml:space="preserve"> Incorporación de conocimientos sobre el procesamiento de lenguaje natural y la mecánica interna de los modelos de gran escala.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Diseño de Soluciones Multi-Cloud:</w:t>
      </w:r>
      <w:r w:rsidDel="00000000" w:rsidR="00000000" w:rsidRPr="00000000">
        <w:rPr>
          <w:rtl w:val="0"/>
        </w:rPr>
        <w:t xml:space="preserve"> Capacidad de integrar servicios de Vertex AI (Google) en arquitecturas basadas en Azure, optimizando la flexibilidad de la tesis.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Validación Profesional:</w:t>
      </w:r>
      <w:r w:rsidDel="00000000" w:rsidR="00000000" w:rsidRPr="00000000">
        <w:rPr>
          <w:rtl w:val="0"/>
        </w:rPr>
        <w:t xml:space="preserve"> Los conceptos de sesgos (bias), seguridad y alucinaciones en modelos de IA ahora forman parte del criterio de diseño de la solución propuesta.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Estrategia de Marca Personal (LinkedIn)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mantiene una jerarquía visual clara en el perfil profesional: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Protagonista:</w:t>
      </w:r>
      <w:r w:rsidDel="00000000" w:rsidR="00000000" w:rsidRPr="00000000">
        <w:rPr>
          <w:rtl w:val="0"/>
        </w:rPr>
        <w:t xml:space="preserve"> Ruta AZ-305 (Azure Solutions Architect Expert).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Respaldo Técnico:</w:t>
      </w:r>
      <w:r w:rsidDel="00000000" w:rsidR="00000000" w:rsidRPr="00000000">
        <w:rPr>
          <w:rtl w:val="0"/>
        </w:rPr>
        <w:t xml:space="preserve"> Insignias de Google Cloud en "segundo plano" para demostrar versatilidad y actualización en tiempo real (mayo 2026).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Conversión:</w:t>
      </w:r>
      <w:r w:rsidDel="00000000" w:rsidR="00000000" w:rsidRPr="00000000">
        <w:rPr>
          <w:rtl w:val="0"/>
        </w:rPr>
        <w:t xml:space="preserve"> Enlace estratégico hacia la Tesis HPR para demostrar la aplicación práctica de los conocimientos adquiridos.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"Un arquitecto no solo construye con herramientas, construye con lógica, tecnología y fe en la evolución constante."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