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 Estratégico: Soluciones de Cómputo en Azure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Este documento sistematiza los conceptos clave del módulo de cómputo para la arquitectura HPR (High Performance &amp; Reliability), optimizando la toma de decisiones según el control, costo y escalabilidad.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Servicio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Concepto Clave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Uso Ideal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Machines (IaaS)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Control total del hardware virtual y sistema operativo.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Migraciones "lift-and-shift", software heredado o control total del 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App Service (PaaS)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Plataforma administrada para hospedar aplicaciones web y APIs.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Aplicaciones web modernas que requieren escalado automático sin gestionar servidores.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Batch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Computación de alto rendimiento (HPC) a gran escala.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Tareas masivas paralelas como renderizado 3D, simulaciones o procesamiento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Container Instances (ACI)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Contenedores aislados de inicio rápido sin gestión de clúster.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Tareas sencillas, scripts de automatización o trabajos de corta duración.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Kubernetes (AKS)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Orquestación profesional de flotas de contenedores.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Arquitecturas de microservicios complejas que requieren alta disponibilidad.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Azure Functions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 Serverless basado en eventos (Compute-on-demand).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Lógica de procesamiento rápido activada por gatillos (triggers).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Apps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Flujos de trabajo visuales para integración de sistemas.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Conectar aplicaciones y automatizar procesos de negocio sin escribir código.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Guía Rápida de Selección de VMs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Uso General (Serie D):</w:t>
      </w:r>
      <w:r w:rsidDel="00000000" w:rsidR="00000000" w:rsidRPr="00000000">
        <w:rPr>
          <w:rtl w:val="0"/>
        </w:rPr>
        <w:t xml:space="preserve"> Opción por defecto para la mayoría de servidores.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Optimizado para Memoria (Serie E):</w:t>
      </w:r>
      <w:r w:rsidDel="00000000" w:rsidR="00000000" w:rsidRPr="00000000">
        <w:rPr>
          <w:rtl w:val="0"/>
        </w:rPr>
        <w:t xml:space="preserve"> Para bases de datos relacionales grandes y análisis en memoria.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Optimizado para Cómputo (Serie F):</w:t>
      </w:r>
      <w:r w:rsidDel="00000000" w:rsidR="00000000" w:rsidRPr="00000000">
        <w:rPr>
          <w:rtl w:val="0"/>
        </w:rPr>
        <w:t xml:space="preserve"> Para procesamiento intensivo de CPU.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N:</w:t>
      </w:r>
      <w:r w:rsidDel="00000000" w:rsidR="00000000" w:rsidRPr="00000000">
        <w:rPr>
          <w:rtl w:val="0"/>
        </w:rPr>
        <w:t xml:space="preserve"> Equipadas con GPU para Machine Learning y renderizado pesado.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resumen constituye la base técnica para la toma de decisiones en infraestructuras de alto rendimiento.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