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de Contingencia y Soberanía de Datos: Misión Crítica (V2)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Este documento establece el marco estratégico para la continuidad operativa del Estado ante catástrofes que comprometan la infraestructura física y la integridad de los datos soberanos, integrando Inteligencia Artificial Operativa y soluciones de nube de alta disponibilidad.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225" w:lineRule="auto"/>
        <w:ind w:left="225" w:right="225" w:firstLine="0"/>
        <w:rPr>
          <w:shd w:fill="e8f0fe" w:val="clear"/>
        </w:rPr>
      </w:pPr>
      <w:r w:rsidDel="00000000" w:rsidR="00000000" w:rsidRPr="00000000">
        <w:rPr>
          <w:b w:val="1"/>
          <w:bCs w:val="1"/>
          <w:shd w:fill="e8f0fe" w:val="clear"/>
          <w:rtl w:val="0"/>
        </w:rPr>
        <w:t xml:space="preserve">Visión Holística:</w:t>
      </w:r>
      <w:r w:rsidDel="00000000" w:rsidR="00000000" w:rsidRPr="00000000">
        <w:rPr>
          <w:shd w:fill="e8f0fe" w:val="clear"/>
          <w:rtl w:val="0"/>
        </w:rPr>
        <w:t xml:space="preserve"> Unión de Lógica (estrategia), Tecnología (Azure/IA) y Fe (resiliencia y ética de servicio) para la protección de la infraestructura nacional.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El Paradigma de la IA Operativa Gubernamental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Rule="auto"/>
        <w:rPr/>
      </w:pPr>
      <w:r w:rsidDel="00000000" w:rsidR="00000000" w:rsidRPr="00000000">
        <w:rPr>
          <w:rtl w:val="0"/>
        </w:rPr>
        <w:t xml:space="preserve">El sistema evoluciona de una respuesta reactiva a un </w:t>
      </w:r>
      <w:r w:rsidDel="00000000" w:rsidR="00000000" w:rsidRPr="00000000">
        <w:rPr>
          <w:b w:val="1"/>
          <w:bCs w:val="1"/>
          <w:rtl w:val="0"/>
        </w:rPr>
        <w:t xml:space="preserve">Modelo Imperativo de Soberanía</w:t>
      </w:r>
      <w:r w:rsidDel="00000000" w:rsidR="00000000" w:rsidRPr="00000000">
        <w:rPr>
          <w:rtl w:val="0"/>
        </w:rPr>
        <w:t xml:space="preserve">. La IA no solo monitorea, sino que actúa como el Guardián de la Estructura Nacional, ejecutando protocolos de protección de datos ciudadanos sin intervención humana ante la pérdida de nodos locales.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/>
      </w:pPr>
      <w:r w:rsidDel="00000000" w:rsidR="00000000" w:rsidRPr="00000000">
        <w:rPr>
          <w:rtl w:val="0"/>
        </w:rPr>
        <w:t xml:space="preserve">2. Niveles de Intervención en Crisis Nacional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Fase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Organismos Implicados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Acción Estratégica (Soberanía)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8f9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Herramienta Azure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Supervivencia (0-60 min)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Salud, Policía, Bomberos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Activación del "Búnker Digital". Redirección inmediata a Región Par con encriptación de llave propia (BYOK).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Azure Front Door / Confidential Computing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Estabilización (1-24 hs)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Ministerios de Interior y Defensa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Despliegue de nodos de contingencia. Priorización de servicios críticos (Identidad, Seguridad).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Azure Stack Edge / Managed HSM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Recuperación (1-7 días)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Gestión Gubernamental General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Rehidratación masiva de bases de datos estatales mediante transporte físico blindado.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Azure Data Box</w:t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El Caso Uruguay: Interoperabilidad y Cercanía Estratégica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Aprovechamiento de la infraestructura regional para garantizar latencia mínima y soberanía legal: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Residencia vs. Soberanía:</w:t>
      </w:r>
      <w:r w:rsidDel="00000000" w:rsidR="00000000" w:rsidRPr="00000000">
        <w:rPr>
          <w:rtl w:val="0"/>
        </w:rPr>
        <w:t xml:space="preserve"> Compromiso de residencia temporal en región par por necesidad técnica, manteniendo soberanía mediante control exclusivo de llaves criptográficas (HSM).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Redundancia de Baja Latencia:</w:t>
      </w:r>
      <w:r w:rsidDel="00000000" w:rsidR="00000000" w:rsidRPr="00000000">
        <w:rPr>
          <w:rtl w:val="0"/>
        </w:rPr>
        <w:t xml:space="preserve"> Validación técnica basada en infraestructura de alto rendimiento regional (latencia &lt; 40ms), permitiendo coordinación de fuerzas en tiempo real.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Interoperabilidad Nacional:</w:t>
      </w:r>
      <w:r w:rsidDel="00000000" w:rsidR="00000000" w:rsidRPr="00000000">
        <w:rPr>
          <w:rtl w:val="0"/>
        </w:rPr>
        <w:t xml:space="preserve"> Conexión con la Plataforma de Interoperabilidad (PDI) para asegurar que el flujo de información médica y de seguridad sea ininterrumpido.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Protocolo de Evaluación de Infraestructura Física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Antes de reintegrar servicios a los centros de datos nacionales, se exige un diagnóstico de "estado de pernos":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Integridad Mecánica:</w:t>
      </w:r>
      <w:r w:rsidDel="00000000" w:rsidR="00000000" w:rsidRPr="00000000">
        <w:rPr>
          <w:rtl w:val="0"/>
        </w:rPr>
        <w:t xml:space="preserve"> Verificación de racks, fatiga de materiales y anclajes antisísmicos.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Soberanía del Hardware:</w:t>
      </w:r>
      <w:r w:rsidDel="00000000" w:rsidR="00000000" w:rsidRPr="00000000">
        <w:rPr>
          <w:rtl w:val="0"/>
        </w:rPr>
        <w:t xml:space="preserve"> Validación de que el hardware local no ha sido comprometido físicamente durante la crisis.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Funciones del Agente de IA como Director de Crisis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Triaje de Datos:</w:t>
      </w:r>
      <w:r w:rsidDel="00000000" w:rsidR="00000000" w:rsidRPr="00000000">
        <w:rPr>
          <w:rtl w:val="0"/>
        </w:rPr>
        <w:t xml:space="preserve"> Clasificación inmediata entre información vital (registros médicos críticos) y administrativa.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Gestión de Encriptación:</w:t>
      </w:r>
      <w:r w:rsidDel="00000000" w:rsidR="00000000" w:rsidRPr="00000000">
        <w:rPr>
          <w:rtl w:val="0"/>
        </w:rPr>
        <w:t xml:space="preserve"> Asegurar que ningún bit de información soberana sea legible fuera de la red de confianza del Estado.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Logística Automática:</w:t>
      </w:r>
      <w:r w:rsidDel="00000000" w:rsidR="00000000" w:rsidRPr="00000000">
        <w:rPr>
          <w:rtl w:val="0"/>
        </w:rPr>
        <w:t xml:space="preserve"> Activación de protocolos de migración offline (Data Box) al detectar saturación de enlaces internacionales.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50" w:lineRule="auto"/>
        <w:rPr>
          <w:color w:val="777777"/>
          <w:sz w:val="28"/>
          <w:szCs w:val="28"/>
        </w:rPr>
      </w:pPr>
      <w:r w:rsidDel="00000000" w:rsidR="00000000" w:rsidRPr="00000000">
        <w:rPr>
          <w:color w:val="777777"/>
          <w:sz w:val="28"/>
          <w:szCs w:val="28"/>
          <w:rtl w:val="0"/>
        </w:rPr>
        <w:t xml:space="preserve">Documento generado para la Tesis de Arquitectura de Soluciones y Plan de Continuidad HPR.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90" w:before="240" w:lineRule="auto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75" w:lineRule="auto"/>
    </w:pPr>
    <w:rPr>
      <w:b w:val="1"/>
      <w:bCs w:val="1"/>
      <w:i w:val="0"/>
      <w:iCs w:val="0"/>
      <w:color w:val="1a73e8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</w:pPr>
    <w:rPr>
      <w:b w:val="1"/>
      <w:bCs w:val="1"/>
      <w:i w:val="0"/>
      <w:iCs w:val="0"/>
      <w:color w:val="5f636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