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Default Extension="png" ContentType="image/png"/>
  <Override PartName="/word/headerComeCoreLogo.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E77C" w14:textId="77777777" w:rsidR="00AB2B83" w:rsidRPr="003D280D" w:rsidRDefault="00000000">
      <w:pPr>
        <w:pStyle w:val="Ttulo"/>
        <w:rPr>
          <w:lang w:val="es-MX"/>
        </w:rPr>
        <w:keepLines/>
        <w:keepNext/>
        <w:spacing w:before="360" w:after="120"/>
      </w:pPr>
      <w:r>
        <w:rPr>
          <w:color w:val="000000"/>
          <w:lang w:val="es-MX"/>
          <w:b/>
          <w:sz w:val="32"/>
        </w:rPr>
        <w:t xml:space="preserve">Presupuesto de desarrollo de ComeCore</w:t>
      </w:r>
    </w:p>
    <w:p w14:paraId="67974953" w14:textId="77777777" w:rsidR="00AB2B83" w:rsidRPr="003D280D" w:rsidRDefault="00000000">
      <w:pPr>
        <w:rPr>
          <w:lang w:val="es-MX"/>
        </w:rPr>
        <w:keepLines/>
      </w:pPr>
      <w:r>
        <w:rPr>
          <w:color w:val="000000"/>
          <w:lang w:val="es-MX"/>
        </w:rPr>
        <w:t xml:space="preserve">Proponemos completar el ERP ComeCore para el ISP CometaLink mediante un MVP y una entrega integral con servidores y app móvil para clientes. La planeación distingue el costo de los recursos del precio de una contratación comercial. El cierre propuesto es el 26 de marzo de 2027, con beta integral el 26 de febrero.</w:t>
      </w:r>
    </w:p>
    <w:p w14:paraId="359A4D45" w14:textId="77777777" w:rsidR="00AB2B83" w:rsidRDefault="00000000">
      <w:pPr>
        <w:pStyle w:val="Ttulo3"/>
        <w:keepLines/>
        <w:keepNext/>
      </w:pPr>
      <w:r>
        <w:rPr>
          <w:color w:val="000000"/>
          <w:lang w:val="es-MX"/>
        </w:rPr>
        <w:t xml:space="preserve">1 Datos generales</w:t>
      </w:r>
    </w:p>
    <w:tbl>
      <w:tblPr>
        <w:tblStyle w:val="Tablaconcuadrcula"/>
        <w:tblW w:w="9360" w:type="dxa"/>
        <w:tblLayout w:type="fixed"/>
        <w:tblLook w:val="0420" w:firstRow="1" w:lastRow="0" w:firstColumn="0" w:lastColumn="0" w:noHBand="0" w:noVBand="1"/>
      </w:tblPr>
      <w:tblGrid>
        <w:gridCol w:w="2900"/>
        <w:gridCol w:w="6460"/>
      </w:tblGrid>
      <w:tr w:rsidR="00AB2B83" w14:paraId="257F1DFC" w14:textId="77777777">
        <w:trPr>
          <w:tblHeader/>
          <w:cantSplit/>
        </w:trPr>
        <w:tc>
          <w:tcPr>
            <w:tcW w:w="2900" w:type="dxa"/>
            <w:shd w:val="clear" w:color="auto" w:fill="F2F2F2"/>
            <w:vAlign w:val="center"/>
            <w:tcMar>
              <w:top w:w="70" w:type="dxa"/>
              <w:bottom w:w="70" w:type="dxa"/>
              <w:left w:w="100" w:type="dxa"/>
              <w:right w:w="100" w:type="dxa"/>
            </w:tcMar>
          </w:tcPr>
          <w:p w14:paraId="7B931838" w14:textId="77777777" w:rsidR="00AB2B83" w:rsidRDefault="00000000">
            <w:pPr>
              <w:spacing w:before="0" w:after="30" w:line="259" w:lineRule="auto"/>
              <w:jc w:val="left"/>
              <w:keepNext/>
            </w:pPr>
            <w:r>
              <w:rPr>
                <w:color w:val="000000"/>
                <w:lang w:val="es-MX"/>
              </w:rPr>
              <w:t xml:space="preserve">Campo</w:t>
            </w:r>
          </w:p>
        </w:tc>
        <w:tc>
          <w:tcPr>
            <w:tcW w:w="6460" w:type="dxa"/>
            <w:shd w:val="clear" w:color="auto" w:fill="F2F2F2"/>
            <w:vAlign w:val="center"/>
            <w:tcMar>
              <w:top w:w="70" w:type="dxa"/>
              <w:bottom w:w="70" w:type="dxa"/>
              <w:left w:w="100" w:type="dxa"/>
              <w:right w:w="100" w:type="dxa"/>
            </w:tcMar>
          </w:tcPr>
          <w:p w14:paraId="55151979" w14:textId="77777777" w:rsidR="00AB2B83" w:rsidRDefault="00000000">
            <w:pPr>
              <w:spacing w:before="0" w:after="30" w:line="259" w:lineRule="auto"/>
              <w:jc w:val="left"/>
              <w:keepNext/>
            </w:pPr>
            <w:r>
              <w:rPr>
                <w:color w:val="000000"/>
                <w:lang w:val="es-MX"/>
              </w:rPr>
              <w:t xml:space="preserve">Contenido</w:t>
            </w:r>
          </w:p>
        </w:tc>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Nombre del proyecto</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ComeCore ERP y app móvil para CometaLink</w:t>
            </w:r>
          </w:p>
        </w:tc>
        <w:trPr>
          <w:cantSplit/>
        </w:trPr>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Cliente y área solicitante</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CometaLink ISP | Administración y operación</w:t>
            </w:r>
          </w:p>
        </w:tc>
        <w:trPr>
          <w:cantSplit/>
        </w:trPr>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Responsable del presupuesto</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Juan Diego Reyes Carrasco</w:t>
            </w:r>
          </w:p>
        </w:tc>
        <w:trPr>
          <w:cantSplit/>
        </w:trPr>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Fecha y versión</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14 de octubre de 2026 | Versión 1.0</w:t>
            </w:r>
          </w:p>
        </w:tc>
        <w:trPr>
          <w:cantSplit/>
        </w:trPr>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Moneda</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Pesos mexicanos MXN</w:t>
            </w:r>
          </w:p>
        </w:tc>
        <w:trPr>
          <w:cantSplit/>
        </w:trPr>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keepNext/>
            </w:pPr>
            <w:r>
              <w:rPr>
                <w:color w:val="000000"/>
                <w:lang w:val="es-MX"/>
              </w:rPr>
              <w:t xml:space="preserve">Vigencia de la estimación</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keepNext/>
            </w:pPr>
            <w:r>
              <w:rPr>
                <w:color w:val="000000"/>
                <w:lang w:val="es-MX"/>
              </w:rPr>
              <w:t xml:space="preserve">30 días, hasta el 13 de noviembre de 2026</w:t>
            </w:r>
          </w:p>
        </w:tc>
        <w:trPr>
          <w:cantSplit/>
        </w:trPr>
      </w:tr>
      <w:tr w:rsidR="00AB2B83" w14:paraId="03631347" w14:textId="77777777">
        <w:tc>
          <w:tcPr>
            <w:tcW w:w="29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Naturaleza de la propuesta</w:t>
            </w:r>
          </w:p>
        </w:tc>
        <w:tc>
          <w:tcPr>
            <w:tcW w:w="64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Base académica y escenario comercial sujetos a validación</w:t>
            </w:r>
          </w:p>
        </w:tc>
        <w:trPr>
          <w:cantSplit/>
        </w:trPr>
      </w:tr>
    </w:tbl>
    <w:p w14:paraId="359A4D45" w14:textId="77777777" w:rsidR="00AB2B83" w:rsidRDefault="00000000">
      <w:pPr>
        <w:pStyle w:val="Ttulo3"/>
        <w:keepLines/>
        <w:keepNext/>
      </w:pPr>
      <w:r>
        <w:rPr>
          <w:color w:val="000000"/>
          <w:lang w:val="es-MX"/>
        </w:rPr>
        <w:t xml:space="preserve">Integrantes y responsabilidades propuestas</w:t>
      </w:r>
    </w:p>
    <w:tbl>
      <w:tblPr>
        <w:tblStyle w:val="Tablaconcuadrcula"/>
        <w:tblW w:w="9360" w:type="dxa"/>
        <w:tblLayout w:type="fixed"/>
        <w:tblLook w:val="0420" w:firstRow="1" w:lastRow="0" w:firstColumn="0" w:lastColumn="0" w:noHBand="0" w:noVBand="1"/>
      </w:tblPr>
      <w:tblGrid>
        <w:gridCol w:w="3700"/>
        <w:gridCol w:w="5660"/>
      </w:tblGrid>
      <w:tr w:rsidR="00AB2B83" w14:paraId="257F1DFC" w14:textId="77777777">
        <w:trPr>
          <w:tblHeader/>
          <w:cantSplit/>
        </w:trPr>
        <w:tc>
          <w:tcPr>
            <w:tcW w:w="3700" w:type="dxa"/>
            <w:shd w:val="clear" w:color="auto" w:fill="F2F2F2"/>
            <w:vAlign w:val="center"/>
            <w:tcMar>
              <w:top w:w="70" w:type="dxa"/>
              <w:bottom w:w="70" w:type="dxa"/>
              <w:left w:w="100" w:type="dxa"/>
              <w:right w:w="100" w:type="dxa"/>
            </w:tcMar>
          </w:tcPr>
          <w:p w14:paraId="7B931838" w14:textId="77777777" w:rsidR="00AB2B83" w:rsidRDefault="00000000">
            <w:pPr>
              <w:spacing w:before="0" w:after="30" w:line="259" w:lineRule="auto"/>
              <w:jc w:val="left"/>
              <w:keepNext/>
            </w:pPr>
            <w:r>
              <w:rPr>
                <w:color w:val="000000"/>
                <w:lang w:val="es-MX"/>
              </w:rPr>
              <w:t xml:space="preserve">Integrante</w:t>
            </w:r>
          </w:p>
        </w:tc>
        <w:tc>
          <w:tcPr>
            <w:tcW w:w="5660" w:type="dxa"/>
            <w:shd w:val="clear" w:color="auto" w:fill="F2F2F2"/>
            <w:vAlign w:val="center"/>
            <w:tcMar>
              <w:top w:w="70" w:type="dxa"/>
              <w:bottom w:w="70" w:type="dxa"/>
              <w:left w:w="100" w:type="dxa"/>
              <w:right w:w="100" w:type="dxa"/>
            </w:tcMar>
          </w:tcPr>
          <w:p w14:paraId="55151979" w14:textId="77777777" w:rsidR="00AB2B83" w:rsidRDefault="00000000">
            <w:pPr>
              <w:spacing w:before="0" w:after="30" w:line="259" w:lineRule="auto"/>
              <w:jc w:val="left"/>
              <w:keepNext/>
            </w:pPr>
            <w:r>
              <w:rPr>
                <w:color w:val="000000"/>
                <w:lang w:val="es-MX"/>
              </w:rPr>
              <w:t xml:space="preserve">Responsabilidad principal</w:t>
            </w:r>
          </w:p>
        </w:tc>
      </w:tr>
      <w:tr w:rsidR="00AB2B83" w14:paraId="03631347" w14:textId="77777777">
        <w:tc>
          <w:tcPr>
            <w:tcW w:w="37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Juan Diego Reyes Carrasco</w:t>
            </w:r>
          </w:p>
        </w:tc>
        <w:tc>
          <w:tcPr>
            <w:tcW w:w="56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Coordinación, análisis, despliegue y apoyo backend</w:t>
            </w:r>
          </w:p>
        </w:tc>
        <w:trPr>
          <w:cantSplit/>
        </w:trPr>
      </w:tr>
      <w:tr w:rsidR="00AB2B83" w14:paraId="03631347" w14:textId="77777777">
        <w:tc>
          <w:tcPr>
            <w:tcW w:w="37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Emmanuel Hernández Ibarra</w:t>
            </w:r>
          </w:p>
        </w:tc>
        <w:tc>
          <w:tcPr>
            <w:tcW w:w="56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Frontend e integración de la app móvil</w:t>
            </w:r>
          </w:p>
        </w:tc>
        <w:trPr>
          <w:cantSplit/>
        </w:trPr>
      </w:tr>
      <w:tr w:rsidR="00AB2B83" w14:paraId="03631347" w14:textId="77777777">
        <w:tc>
          <w:tcPr>
            <w:tcW w:w="37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keepNext/>
            </w:pPr>
            <w:r>
              <w:rPr>
                <w:color w:val="000000"/>
                <w:lang w:val="es-MX"/>
              </w:rPr>
              <w:t xml:space="preserve">Diego Montiel Hernández</w:t>
            </w:r>
          </w:p>
        </w:tc>
        <w:tc>
          <w:tcPr>
            <w:tcW w:w="56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keepNext/>
            </w:pPr>
            <w:r>
              <w:rPr>
                <w:color w:val="000000"/>
                <w:lang w:val="es-MX"/>
              </w:rPr>
              <w:t xml:space="preserve">Backend, servidores y API</w:t>
            </w:r>
          </w:p>
        </w:tc>
        <w:trPr>
          <w:cantSplit/>
        </w:trPr>
      </w:tr>
      <w:tr w:rsidR="00AB2B83" w14:paraId="03631347" w14:textId="77777777">
        <w:tc>
          <w:tcPr>
            <w:tcW w:w="3700" w:type="dxa"/>
            <w:vAlign w:val="center"/>
            <w:tcMar>
              <w:top w:w="70" w:type="dxa"/>
              <w:bottom w:w="70" w:type="dxa"/>
              <w:left w:w="100" w:type="dxa"/>
              <w:right w:w="100" w:type="dxa"/>
            </w:tcMar>
          </w:tcPr>
          <w:p w14:paraId="18AE1D06" w14:textId="77777777" w:rsidR="00AB2B83" w:rsidRDefault="00000000">
            <w:pPr>
              <w:spacing w:before="0" w:after="30" w:line="259" w:lineRule="auto"/>
              <w:jc w:val="left"/>
            </w:pPr>
            <w:r>
              <w:rPr>
                <w:color w:val="000000"/>
                <w:lang w:val="es-MX"/>
              </w:rPr>
              <w:t xml:space="preserve">Osvaldo Uriel González Maldonado</w:t>
            </w:r>
          </w:p>
        </w:tc>
        <w:tc>
          <w:tcPr>
            <w:tcW w:w="5660" w:type="dxa"/>
            <w:vAlign w:val="center"/>
            <w:tcMar>
              <w:top w:w="70" w:type="dxa"/>
              <w:bottom w:w="70" w:type="dxa"/>
              <w:left w:w="100" w:type="dxa"/>
              <w:right w:w="100" w:type="dxa"/>
            </w:tcMar>
          </w:tcPr>
          <w:p w14:paraId="6A9C25CD" w14:textId="77777777" w:rsidR="00AB2B83" w:rsidRDefault="00000000">
            <w:pPr>
              <w:spacing w:before="0" w:after="30" w:line="259" w:lineRule="auto"/>
              <w:jc w:val="left"/>
            </w:pPr>
            <w:r>
              <w:rPr>
                <w:color w:val="000000"/>
                <w:lang w:val="es-MX"/>
              </w:rPr>
              <w:t xml:space="preserve">UX, pruebas y apoyo de integración</w:t>
            </w:r>
          </w:p>
        </w:tc>
        <w:trPr>
          <w:cantSplit/>
        </w:trPr>
      </w:tr>
    </w:tbl>
    <w:p w14:paraId="67974953" w14:textId="77777777" w:rsidR="00AB2B83" w:rsidRPr="003D280D" w:rsidRDefault="00000000">
      <w:pPr>
        <w:rPr>
          <w:lang w:val="es-MX"/>
        </w:rPr>
        <w:keepLines/>
        <w:spacing w:before="120"/>
      </w:pPr>
      <w:r>
        <w:rPr>
          <w:color w:val="000000"/>
          <w:lang w:val="es-MX"/>
        </w:rPr>
        <w:t xml:space="preserve">La asignación se validará con el equipo y CometaLink. Se propone una carga base de 368 horas por integrante para todo el proyecto.</w:t>
      </w:r>
    </w:p>
    <w:p w14:paraId="359A4D45" w14:textId="77777777" w:rsidR="00AB2B83" w:rsidRDefault="00000000">
      <w:pPr>
        <w:pStyle w:val="Ttulo3"/>
        <w:keepLines/>
        <w:keepNext/>
      </w:pPr>
      <w:r>
        <w:rPr>
          <w:color w:val="000000"/>
          <w:lang w:val="es-MX"/>
        </w:rPr>
        <w:t xml:space="preserve">2 Objetivo y alcance</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Problema que resuelve:</w:t>
      </w:r>
      <w:r>
        <w:rPr>
          <w:color w:val="000000"/>
          <w:lang w:val="es-MX"/>
        </w:rPr>
        <w:t xml:space="preserve"> el ERP dispone de pantallas y modelo de datos, pero varias operaciones siguen en demostración. Falta un flujo persistente y verificable que vincule cliente, plan, contrato y operación. El impacto en los procesos diarios de CometaLink se medirá con sus usuarios.</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Objetivo del proyecto:</w:t>
      </w:r>
      <w:r>
        <w:rPr>
          <w:color w:val="000000"/>
          <w:lang w:val="es-MX"/>
        </w:rPr>
        <w:t xml:space="preserve"> entregar primero un piloto operativo y después el alcance integral aprobado, con datos relacionados, permisos servidor, módulo de servidores y app de clientes. La aceptación exige pruebas funcionales, seguridad por recurso, restauración y validación de CometaLink.</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Incluido en el MVP:</w:t>
      </w:r>
      <w:r>
        <w:rPr>
          <w:color w:val="000000"/>
          <w:lang w:val="es-MX"/>
        </w:rPr>
        <w:t xml:space="preserve"> acceso seguro con MFA, gestión persistente de clientes, catálogo básico de planes, contratos relacionados, consulta, filtros, auditoría, despliegue de piloto, correo de recuperación, respaldo y capacitación. La migración inicial se limita a un lote autorizado de hasta 50 clientes y 50 contratos.</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Incluido en la etapa integral:</w:t>
      </w:r>
      <w:r>
        <w:rPr>
          <w:color w:val="000000"/>
          <w:lang w:val="es-MX"/>
        </w:rPr>
        <w:t xml:space="preserve"> inventario y facturación administrativa, nodos, conexión y telemetría de un equipo MikroTik RouterOS, persistencia del CMC y app móvil de consulta y tickets. Se prevé base móvil compartida Android e iOS, supuesto a confirmar antes de contratar. La app consultará solo contratos, plan, estados administrativos y tickets del cliente autenticado.</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Fuera de alcance:</w:t>
      </w:r>
      <w:r>
        <w:rPr>
          <w:color w:val="000000"/>
          <w:lang w:val="es-MX"/>
        </w:rPr>
        <w:t xml:space="preserve"> timbrado CFDI, cobros bancarios o pasarelas, cortes y reconexiones automáticos, aprovisionamiento multivendedor, reemplazo de UISP, alta disponibilidad, operación 24 horas y desarrollo de funciones nuevas no descritas. BMU, OLT y NAP incluyen catálogo y vínculos administrativos; automatización de sus equipos requiere un alcance específico.</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Supuestos:</w:t>
      </w:r>
      <w:r>
        <w:rPr>
          <w:color w:val="000000"/>
          <w:lang w:val="es-MX"/>
        </w:rPr>
        <w:t xml:space="preserve"> CometaLink designa un responsable, autoriza los datos del piloto, proporciona acceso de laboratorio al MikroTik y facilita dispositivos Android/iOS, dominio y cuentas de publicación. El equipo reutiliza computadoras y conectividad; cualquier compra adicional se aprueba por separado.</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Restricciones:</w:t>
      </w:r>
      <w:r>
        <w:rPr>
          <w:color w:val="000000"/>
          <w:lang w:val="es-MX"/>
        </w:rPr>
        <w:t xml:space="preserve"> conservar Next.js, React, MUI, NestJS/Fastify, PostgreSQL y la arquitectura existente. DBeaver administra la base; el navegador y la app no reciben credenciales SQL. Los cambios al servicio de red requieren entorno de ensayo y autorización del responsable del ISP.</w:t>
      </w:r>
    </w:p>
    <w:p w14:paraId="67974953" w14:textId="77777777" w:rsidR="00AB2B83" w:rsidRPr="003D280D" w:rsidRDefault="00000000">
      <w:pPr>
        <w:rPr>
          <w:lang w:val="es-MX"/>
        </w:rPr>
        <w:keepLines/>
      </w:pPr>
      <w:r>
        <w:rPr>
          <w:color w:val="000000"/>
          <w:lang w:val="es-MX"/>
        </w:rPr>
        <w:t xml:space="preserve">Punto de partida verificado al 14/10/2026: existen 67 tablas, 217 claves foráneas y autenticación local con pruebas. Clientes y Contratos usan un snapshot cifrado; otras pantallas siguen siendo demo. Estas bases reducen trabajo inicial, pero no sustituyen las APIs, la normalización ni la aceptación pública. El esfuerzo ya realizado no se factura otra vez en esta estimación incremental. [I1, I2]</w:t>
      </w:r>
    </w:p>
    <w:p w14:paraId="359A4D45" w14:textId="77777777" w:rsidR="00AB2B83" w:rsidRDefault="00000000">
      <w:pPr>
        <w:pStyle w:val="Ttulo3"/>
        <w:keepLines/>
        <w:keepNext/>
        <w:pageBreakBefore/>
      </w:pPr>
      <w:r>
        <w:rPr>
          <w:color w:val="000000"/>
          <w:lang w:val="es-MX"/>
        </w:rPr>
        <w:t xml:space="preserve">3 Desglose de trabajo y estimación de horas</w:t>
      </w:r>
    </w:p>
    <w:p w14:paraId="67974953" w14:textId="77777777" w:rsidR="00AB2B83" w:rsidRPr="003D280D" w:rsidRDefault="00000000">
      <w:pPr>
        <w:rPr>
          <w:lang w:val="es-MX"/>
        </w:rPr>
        <w:keepLines/>
      </w:pPr>
      <w:r>
        <w:rPr>
          <w:color w:val="000000"/>
          <w:lang w:val="es-MX"/>
        </w:rPr>
        <w:t xml:space="preserve">La WBS expresa horas-persona adicionales. O es el escenario optimista, P el probable, Pe el pesimista y E la estimación PERT: E = (O + 4P + Pe) / 6. Las cifras se basan en las brechas del ERP revisado; son estimaciones de planificación y se recalibrarán con la velocidad medida en la primera semana.</w:t>
      </w:r>
    </w:p>
    <w:tbl>
      <w:tblPr>
        <w:tblStyle w:val="Tablaconcuadrcula"/>
        <w:tblW w:w="9360" w:type="dxa"/>
        <w:tblLayout w:type="fixed"/>
        <w:tblLook w:val="0420" w:firstRow="1" w:lastRow="0" w:firstColumn="0" w:lastColumn="0" w:noHBand="0" w:noVBand="1"/>
      </w:tblPr>
      <w:tblGrid>
        <w:gridCol w:w="1000"/>
        <w:gridCol w:w="3500"/>
        <w:gridCol w:w="1260"/>
        <w:gridCol w:w="900"/>
        <w:gridCol w:w="900"/>
        <w:gridCol w:w="900"/>
        <w:gridCol w:w="900"/>
      </w:tblGrid>
      <w:tr w:rsidR="00AB2B83" w14:paraId="7B836BBE" w14:textId="77777777">
        <w:trPr>
          <w:tblHeader/>
          <w:cantSplit/>
        </w:trPr>
        <w:tc>
          <w:tcPr>
            <w:tcW w:w="1000" w:type="dxa"/>
            <w:shd w:val="clear" w:color="auto" w:fill="F2F2F2"/>
            <w:vAlign w:val="center"/>
            <w:tcMar>
              <w:top w:w="70" w:type="dxa"/>
              <w:bottom w:w="70" w:type="dxa"/>
              <w:left w:w="100" w:type="dxa"/>
              <w:right w:w="100" w:type="dxa"/>
            </w:tcMar>
          </w:tcPr>
          <w:p w14:paraId="654AE5AD" w14:textId="77777777" w:rsidR="00AB2B83" w:rsidRDefault="00000000">
            <w:pPr>
              <w:spacing w:before="0" w:after="30" w:line="259" w:lineRule="auto"/>
              <w:jc w:val="left"/>
              <w:keepNext/>
            </w:pPr>
            <w:r>
              <w:rPr>
                <w:color w:val="000000"/>
                <w:lang w:val="es-MX"/>
              </w:rPr>
              <w:t xml:space="preserve">Fase</w:t>
            </w:r>
          </w:p>
        </w:tc>
        <w:tc>
          <w:tcPr>
            <w:tcW w:w="3500" w:type="dxa"/>
            <w:shd w:val="clear" w:color="auto" w:fill="F2F2F2"/>
            <w:vAlign w:val="center"/>
            <w:tcMar>
              <w:top w:w="70" w:type="dxa"/>
              <w:bottom w:w="70" w:type="dxa"/>
              <w:left w:w="100" w:type="dxa"/>
              <w:right w:w="100" w:type="dxa"/>
            </w:tcMar>
          </w:tcPr>
          <w:p w14:paraId="0559FC43" w14:textId="77777777" w:rsidR="00AB2B83" w:rsidRDefault="00000000">
            <w:pPr>
              <w:spacing w:before="0" w:after="30" w:line="259" w:lineRule="auto"/>
              <w:jc w:val="left"/>
              <w:keepNext/>
            </w:pPr>
            <w:r>
              <w:rPr>
                <w:color w:val="000000"/>
                <w:lang w:val="es-MX"/>
              </w:rPr>
              <w:t xml:space="preserve">Tarea</w:t>
            </w:r>
          </w:p>
        </w:tc>
        <w:tc>
          <w:tcPr>
            <w:tcW w:w="1260" w:type="dxa"/>
            <w:shd w:val="clear" w:color="auto" w:fill="F2F2F2"/>
            <w:vAlign w:val="center"/>
            <w:tcMar>
              <w:top w:w="70" w:type="dxa"/>
              <w:bottom w:w="70" w:type="dxa"/>
              <w:left w:w="100" w:type="dxa"/>
              <w:right w:w="100" w:type="dxa"/>
            </w:tcMar>
          </w:tcPr>
          <w:p w14:paraId="682F44B8" w14:textId="77777777" w:rsidR="00AB2B83" w:rsidRDefault="00000000">
            <w:pPr>
              <w:spacing w:before="0" w:after="30" w:line="259" w:lineRule="auto"/>
              <w:jc w:val="left"/>
              <w:keepNext/>
            </w:pPr>
            <w:r>
              <w:rPr>
                <w:color w:val="000000"/>
                <w:lang w:val="es-MX"/>
              </w:rPr>
              <w:t xml:space="preserve">Rol</w:t>
            </w:r>
          </w:p>
        </w:tc>
        <w:tc>
          <w:tcPr>
            <w:tcW w:w="900" w:type="dxa"/>
            <w:shd w:val="clear" w:color="auto" w:fill="F2F2F2"/>
            <w:vAlign w:val="center"/>
            <w:tcMar>
              <w:top w:w="70" w:type="dxa"/>
              <w:bottom w:w="70" w:type="dxa"/>
              <w:left w:w="100" w:type="dxa"/>
              <w:right w:w="100" w:type="dxa"/>
            </w:tcMar>
          </w:tcPr>
          <w:p w14:paraId="786C3163" w14:textId="77777777" w:rsidR="00AB2B83" w:rsidRDefault="00000000">
            <w:pPr>
              <w:spacing w:before="0" w:after="30" w:line="259" w:lineRule="auto"/>
              <w:jc w:val="center"/>
              <w:keepNext/>
            </w:pPr>
            <w:r>
              <w:rPr>
                <w:color w:val="000000"/>
                <w:lang w:val="es-MX"/>
              </w:rPr>
              <w:t xml:space="preserve">h O</w:t>
            </w:r>
          </w:p>
        </w:tc>
        <w:tc>
          <w:tcPr>
            <w:tcW w:w="900" w:type="dxa"/>
            <w:shd w:val="clear" w:color="auto" w:fill="F2F2F2"/>
            <w:vAlign w:val="center"/>
            <w:tcMar>
              <w:top w:w="70" w:type="dxa"/>
              <w:bottom w:w="70" w:type="dxa"/>
              <w:left w:w="100" w:type="dxa"/>
              <w:right w:w="100" w:type="dxa"/>
            </w:tcMar>
          </w:tcPr>
          <w:p w14:paraId="69AFAE67" w14:textId="77777777" w:rsidR="00AB2B83" w:rsidRDefault="00000000">
            <w:pPr>
              <w:spacing w:before="0" w:after="30" w:line="259" w:lineRule="auto"/>
              <w:jc w:val="center"/>
              <w:keepNext/>
            </w:pPr>
            <w:r>
              <w:rPr>
                <w:color w:val="000000"/>
                <w:lang w:val="es-MX"/>
              </w:rPr>
              <w:t xml:space="preserve">h P</w:t>
            </w:r>
          </w:p>
        </w:tc>
        <w:tc>
          <w:tcPr>
            <w:tcW w:w="900" w:type="dxa"/>
            <w:shd w:val="clear" w:color="auto" w:fill="F2F2F2"/>
            <w:vAlign w:val="center"/>
            <w:tcMar>
              <w:top w:w="70" w:type="dxa"/>
              <w:bottom w:w="70" w:type="dxa"/>
              <w:left w:w="100" w:type="dxa"/>
              <w:right w:w="100" w:type="dxa"/>
            </w:tcMar>
          </w:tcPr>
          <w:p w14:paraId="13C2A6F9" w14:textId="77777777" w:rsidR="00AB2B83" w:rsidRDefault="00000000">
            <w:pPr>
              <w:spacing w:before="0" w:after="30" w:line="259" w:lineRule="auto"/>
              <w:jc w:val="center"/>
              <w:keepNext/>
            </w:pPr>
            <w:r>
              <w:rPr>
                <w:color w:val="000000"/>
                <w:lang w:val="es-MX"/>
              </w:rPr>
              <w:t xml:space="preserve">h Pe</w:t>
            </w:r>
          </w:p>
        </w:tc>
        <w:tc>
          <w:tcPr>
            <w:tcW w:w="900" w:type="dxa"/>
            <w:shd w:val="clear" w:color="auto" w:fill="F2F2F2"/>
            <w:vAlign w:val="center"/>
            <w:tcMar>
              <w:top w:w="70" w:type="dxa"/>
              <w:bottom w:w="70" w:type="dxa"/>
              <w:left w:w="100" w:type="dxa"/>
              <w:right w:w="100" w:type="dxa"/>
            </w:tcMar>
          </w:tcPr>
          <w:p w14:paraId="2D8C541B" w14:textId="77777777" w:rsidR="00AB2B83" w:rsidRDefault="00000000">
            <w:pPr>
              <w:spacing w:before="0" w:after="30" w:line="259" w:lineRule="auto"/>
              <w:jc w:val="center"/>
              <w:keepNext/>
            </w:pPr>
            <w:r>
              <w:rPr>
                <w:color w:val="000000"/>
                <w:lang w:val="es-MX"/>
              </w:rPr>
              <w:t xml:space="preserve">h E</w:t>
            </w:r>
          </w:p>
        </w:tc>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Requisitos y entrevistas</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Analista</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28</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36</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28</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Recorrido y ajustes de interfaz</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UX/UI</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28</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36</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28</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Cliente, plan y contrato en frontend</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56</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72</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88</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72</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APIs y normalización de datos</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76</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100</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124</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100</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Migración piloto y correo</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32</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44</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32</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Pruebas y correcciones del piloto</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QA</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40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56</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72</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56</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Entorno seguro y restauración</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DevOps</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28</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36</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28</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Capacitación y manual operativo</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DevOps</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8</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12</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16</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12</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1 MVP</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Coordinación y seguimiento</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PM</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28</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36</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28</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Requisitos de red y app móvil</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Analista</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28</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36</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28</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Diseño de la app para clientes</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UX/UI</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24</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36</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48</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36</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Inventario, facturación y nodos</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120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160</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200</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160</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Servidores y telemetría MikroTik</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160</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224</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288</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224</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App móvil de clientes</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136</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192</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248</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192</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Persistencia y publicación del CMC</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56</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80</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104</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80</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API de clientes y tickets de la app</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56</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80</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104</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80</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Pruebas integrales y de seguridad</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QA</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112</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160</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208</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160</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color w:val="000000"/>
                <w:lang w:val="es-MX"/>
              </w:rPr>
              <w:t xml:space="preserve">Despliegue tiendas y transferencia</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color w:val="000000"/>
                <w:lang w:val="es-MX"/>
              </w:rPr>
              <w:t xml:space="preserve">DevOps</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color w:val="000000"/>
                <w:lang w:val="es-MX"/>
              </w:rPr>
              <w:t xml:space="preserve">56</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color w:val="000000"/>
                <w:lang w:val="es-MX"/>
              </w:rPr>
              <w:t xml:space="preserve">80</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color w:val="000000"/>
                <w:lang w:val="es-MX"/>
              </w:rPr>
              <w:t xml:space="preserve">104</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color w:val="000000"/>
                <w:lang w:val="es-MX"/>
              </w:rPr>
              <w:t xml:space="preserve">80</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keepNext/>
            </w:pPr>
            <w:r>
              <w:rPr>
                <w:color w:val="000000"/>
                <w:lang w:val="es-MX"/>
              </w:rPr>
              <w:t xml:space="preserve">2 Final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keepNext/>
            </w:pPr>
            <w:r>
              <w:rPr>
                <w:color w:val="000000"/>
                <w:lang w:val="es-MX"/>
              </w:rPr>
              <w:t xml:space="preserve">Gestión de cambios y cierre</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keepNext/>
            </w:pPr>
            <w:r>
              <w:rPr>
                <w:color w:val="000000"/>
                <w:lang w:val="es-MX"/>
              </w:rPr>
              <w:t xml:space="preserve">PM</w:t>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keepNext/>
            </w:pPr>
            <w:r>
              <w:rPr>
                <w:color w:val="000000"/>
                <w:lang w:val="es-MX"/>
              </w:rPr>
              <w:t xml:space="preserve">32</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keepNext/>
            </w:pPr>
            <w:r>
              <w:rPr>
                <w:color w:val="000000"/>
                <w:lang w:val="es-MX"/>
              </w:rPr>
              <w:t xml:space="preserve">48</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keepNext/>
            </w:pPr>
            <w:r>
              <w:rPr>
                <w:color w:val="000000"/>
                <w:lang w:val="es-MX"/>
              </w:rPr>
              <w:t xml:space="preserve">64</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keepNext/>
            </w:pPr>
            <w:r>
              <w:rPr>
                <w:color w:val="000000"/>
                <w:lang w:val="es-MX"/>
              </w:rPr>
              <w:t xml:space="preserve">48</w:t>
            </w:r>
          </w:p>
        </w:tc>
        <w:trPr>
          <w:cantSplit/>
        </w:trPr>
      </w:tr>
      <w:tr w:rsidR="00AB2B83" w14:paraId="40E402BF" w14:textId="77777777">
        <w:tc>
          <w:tcPr>
            <w:tcW w:w="1000" w:type="dxa"/>
            <w:vAlign w:val="center"/>
            <w:tcMar>
              <w:top w:w="70" w:type="dxa"/>
              <w:bottom w:w="70" w:type="dxa"/>
              <w:left w:w="100" w:type="dxa"/>
              <w:right w:w="100" w:type="dxa"/>
            </w:tcMar>
          </w:tcPr>
          <w:p w14:paraId="7BC9535A" w14:textId="77777777" w:rsidR="00AB2B83" w:rsidRDefault="00000000">
            <w:pPr>
              <w:spacing w:before="0" w:after="30" w:line="259" w:lineRule="auto"/>
              <w:jc w:val="left"/>
            </w:pPr>
            <w:r>
              <w:rPr>
                <w:b/>
                <w:color w:val="000000"/>
                <w:lang w:val="es-MX"/>
              </w:rPr>
              <w:t xml:space="preserve">Total</w:t>
            </w:r>
          </w:p>
        </w:tc>
        <w:tc>
          <w:tcPr>
            <w:tcW w:w="3500" w:type="dxa"/>
            <w:vAlign w:val="center"/>
            <w:tcMar>
              <w:top w:w="70" w:type="dxa"/>
              <w:bottom w:w="70" w:type="dxa"/>
              <w:left w:w="100" w:type="dxa"/>
              <w:right w:w="100" w:type="dxa"/>
            </w:tcMar>
          </w:tcPr>
          <w:p w14:paraId="758FA34C" w14:textId="77777777" w:rsidR="00AB2B83" w:rsidRDefault="00000000">
            <w:pPr>
              <w:spacing w:before="0" w:after="30" w:line="259" w:lineRule="auto"/>
              <w:jc w:val="left"/>
            </w:pPr>
            <w:r>
              <w:rPr>
                <w:b/>
                <w:color w:val="000000"/>
                <w:lang w:val="es-MX"/>
              </w:rPr>
              <w:t xml:space="preserve">MVP 384 h y ampliación 1088 h</w:t>
            </w:r>
          </w:p>
        </w:tc>
        <w:tc>
          <w:tcPr>
            <w:tcW w:w="1260" w:type="dxa"/>
            <w:vAlign w:val="center"/>
            <w:tcMar>
              <w:top w:w="70" w:type="dxa"/>
              <w:bottom w:w="70" w:type="dxa"/>
              <w:left w:w="100" w:type="dxa"/>
              <w:right w:w="100" w:type="dxa"/>
            </w:tcMar>
          </w:tcPr>
          <w:p w14:paraId="22788157" w14:textId="77777777" w:rsidR="00AB2B83" w:rsidRDefault="00000000">
            <w:pPr>
              <w:spacing w:before="0" w:after="30" w:line="259" w:lineRule="auto"/>
              <w:jc w:val="left"/>
            </w:pPr>
            <w:r>
              <w:rPr>
                <w:b/>
                <w:color w:val="000000"/>
                <w:lang w:val="es-MX"/>
              </w:rPr>
              <w:t xml:space="preserve"/>
            </w:r>
          </w:p>
        </w:tc>
        <w:tc>
          <w:tcPr>
            <w:tcW w:w="900" w:type="dxa"/>
            <w:vAlign w:val="center"/>
            <w:tcMar>
              <w:top w:w="70" w:type="dxa"/>
              <w:bottom w:w="70" w:type="dxa"/>
              <w:left w:w="100" w:type="dxa"/>
              <w:right w:w="100" w:type="dxa"/>
            </w:tcMar>
          </w:tcPr>
          <w:p w14:paraId="04069B49" w14:textId="77777777" w:rsidR="00AB2B83" w:rsidRDefault="00000000">
            <w:pPr>
              <w:spacing w:before="0" w:after="30" w:line="259" w:lineRule="auto"/>
              <w:jc w:val="right"/>
            </w:pPr>
            <w:r>
              <w:rPr>
                <w:b/>
                <w:color w:val="000000"/>
                <w:lang w:val="es-MX"/>
              </w:rPr>
              <w:t xml:space="preserve">1052</w:t>
            </w:r>
          </w:p>
        </w:tc>
        <w:tc>
          <w:tcPr>
            <w:tcW w:w="900" w:type="dxa"/>
            <w:vAlign w:val="center"/>
            <w:tcMar>
              <w:top w:w="70" w:type="dxa"/>
              <w:bottom w:w="70" w:type="dxa"/>
              <w:left w:w="100" w:type="dxa"/>
              <w:right w:w="100" w:type="dxa"/>
            </w:tcMar>
          </w:tcPr>
          <w:p w14:paraId="0C7FE73C" w14:textId="77777777" w:rsidR="00AB2B83" w:rsidRDefault="00000000">
            <w:pPr>
              <w:spacing w:before="0" w:after="30" w:line="259" w:lineRule="auto"/>
              <w:jc w:val="right"/>
            </w:pPr>
            <w:r>
              <w:rPr>
                <w:b/>
                <w:color w:val="000000"/>
                <w:lang w:val="es-MX"/>
              </w:rPr>
              <w:t xml:space="preserve">1472</w:t>
            </w:r>
          </w:p>
        </w:tc>
        <w:tc>
          <w:tcPr>
            <w:tcW w:w="900" w:type="dxa"/>
            <w:vAlign w:val="center"/>
            <w:tcMar>
              <w:top w:w="70" w:type="dxa"/>
              <w:bottom w:w="70" w:type="dxa"/>
              <w:left w:w="100" w:type="dxa"/>
              <w:right w:w="100" w:type="dxa"/>
            </w:tcMar>
          </w:tcPr>
          <w:p w14:paraId="21D6A69D" w14:textId="77777777" w:rsidR="00AB2B83" w:rsidRDefault="00000000">
            <w:pPr>
              <w:spacing w:before="0" w:after="30" w:line="259" w:lineRule="auto"/>
              <w:jc w:val="right"/>
            </w:pPr>
            <w:r>
              <w:rPr>
                <w:b/>
                <w:color w:val="000000"/>
                <w:lang w:val="es-MX"/>
              </w:rPr>
              <w:t xml:space="preserve">1892</w:t>
            </w:r>
          </w:p>
        </w:tc>
        <w:tc>
          <w:tcPr>
            <w:tcW w:w="900" w:type="dxa"/>
            <w:vAlign w:val="center"/>
            <w:tcMar>
              <w:top w:w="70" w:type="dxa"/>
              <w:bottom w:w="70" w:type="dxa"/>
              <w:left w:w="100" w:type="dxa"/>
              <w:right w:w="100" w:type="dxa"/>
            </w:tcMar>
          </w:tcPr>
          <w:p w14:paraId="42C2A941" w14:textId="77777777" w:rsidR="00AB2B83" w:rsidRDefault="00000000">
            <w:pPr>
              <w:spacing w:before="0" w:after="30" w:line="259" w:lineRule="auto"/>
              <w:jc w:val="right"/>
            </w:pPr>
            <w:r>
              <w:rPr>
                <w:b/>
                <w:color w:val="000000"/>
                <w:lang w:val="es-MX"/>
              </w:rPr>
              <w:t xml:space="preserve">1472</w:t>
            </w:r>
          </w:p>
        </w:tc>
        <w:trPr>
          <w:cantSplit/>
        </w:trPr>
      </w:tr>
    </w:tbl>
    <w:p w14:paraId="67974953" w14:textId="77777777" w:rsidR="00AB2B83" w:rsidRPr="003D280D" w:rsidRDefault="00000000">
      <w:pPr>
        <w:rPr>
          <w:lang w:val="es-MX"/>
        </w:rPr>
        <w:keepLines/>
        <w:spacing w:before="120"/>
      </w:pPr>
      <w:r>
        <w:rPr>
          <w:color w:val="000000"/>
          <w:lang w:val="es-MX"/>
        </w:rPr>
        <w:t xml:space="preserve">Criterio de estimación del MVP: backend 100 h = clientes 36 + contratos 40 + planes 16 + permisos 8; frontend 72 h = clientes 24 + contratos 24 + planes 12 + errores 12; integración 32 h = migración 16 + correo 8 + trazabilidad 8. QA 56 h incluye regresión, permisos y uso con operadores.</w:t>
      </w:r>
    </w:p>
    <w:p w14:paraId="67974953" w14:textId="77777777" w:rsidR="00AB2B83" w:rsidRPr="003D280D" w:rsidRDefault="00000000">
      <w:pPr>
        <w:rPr>
          <w:lang w:val="es-MX"/>
        </w:rPr>
        <w:keepLines/>
      </w:pPr>
      <w:r>
        <w:rPr>
          <w:color w:val="000000"/>
          <w:lang w:val="es-MX"/>
        </w:rPr>
        <w:t xml:space="preserve">En la ampliación, servidores concentra 224 h para adaptador MikroTik, asociación de contratos, telemetría y manejo de fallos. La app requiere 192 h de desarrollo, además de diseño, API de clientes, pruebas y publicación contabilizados en sus propios renglones. No se presupuestan esos componentes dos veces.</w:t>
      </w:r>
    </w:p>
    <w:p w14:paraId="359A4D45" w14:textId="77777777" w:rsidR="00AB2B83" w:rsidRDefault="00000000">
      <w:pPr>
        <w:pStyle w:val="Ttulo3"/>
        <w:keepLines/>
        <w:keepNext/>
      </w:pPr>
      <w:r>
        <w:rPr>
          <w:color w:val="000000"/>
          <w:lang w:val="es-MX"/>
        </w:rPr>
        <w:t xml:space="preserve">4 Costos de mano de obra</w:t>
      </w:r>
    </w:p>
    <w:tbl>
      <w:tblPr>
        <w:tblStyle w:val="Tablaconcuadrcula"/>
        <w:tblW w:w="9360" w:type="dxa"/>
        <w:tblLayout w:type="fixed"/>
        <w:tblLook w:val="0420" w:firstRow="1" w:lastRow="0" w:firstColumn="0" w:lastColumn="0" w:noHBand="0" w:noVBand="1"/>
      </w:tblPr>
      <w:tblGrid>
        <w:gridCol w:w="3800"/>
        <w:gridCol w:w="1800"/>
        <w:gridCol w:w="1500"/>
        <w:gridCol w:w="2260"/>
      </w:tblGrid>
      <w:tr w:rsidR="00AB2B83" w14:paraId="339A5C76" w14:textId="77777777">
        <w:trPr>
          <w:tblHeader/>
          <w:cantSplit/>
        </w:trPr>
        <w:tc>
          <w:tcPr>
            <w:tcW w:w="3800" w:type="dxa"/>
            <w:shd w:val="clear" w:color="auto" w:fill="F2F2F2"/>
            <w:vAlign w:val="center"/>
            <w:tcMar>
              <w:top w:w="70" w:type="dxa"/>
              <w:bottom w:w="70" w:type="dxa"/>
              <w:left w:w="100" w:type="dxa"/>
              <w:right w:w="100" w:type="dxa"/>
            </w:tcMar>
          </w:tcPr>
          <w:p w14:paraId="22FD81E9" w14:textId="77777777" w:rsidR="00AB2B83" w:rsidRDefault="00000000">
            <w:pPr>
              <w:spacing w:before="0" w:after="30" w:line="259" w:lineRule="auto"/>
              <w:jc w:val="left"/>
              <w:keepNext/>
            </w:pPr>
            <w:r>
              <w:rPr>
                <w:color w:val="000000"/>
                <w:lang w:val="es-MX"/>
              </w:rPr>
              <w:t xml:space="preserve">Rol</w:t>
            </w:r>
          </w:p>
        </w:tc>
        <w:tc>
          <w:tcPr>
            <w:tcW w:w="1800" w:type="dxa"/>
            <w:shd w:val="clear" w:color="auto" w:fill="F2F2F2"/>
            <w:vAlign w:val="center"/>
            <w:tcMar>
              <w:top w:w="70" w:type="dxa"/>
              <w:bottom w:w="70" w:type="dxa"/>
              <w:left w:w="100" w:type="dxa"/>
              <w:right w:w="100" w:type="dxa"/>
            </w:tcMar>
          </w:tcPr>
          <w:p w14:paraId="726D992A" w14:textId="77777777" w:rsidR="00AB2B83" w:rsidRDefault="00000000">
            <w:pPr>
              <w:spacing w:before="0" w:after="30" w:line="259" w:lineRule="auto"/>
              <w:jc w:val="center"/>
              <w:keepNext/>
            </w:pPr>
            <w:r>
              <w:rPr>
                <w:color w:val="000000"/>
                <w:lang w:val="es-MX"/>
              </w:rPr>
              <w:t xml:space="preserve">MXN por hora</w:t>
            </w:r>
          </w:p>
        </w:tc>
        <w:tc>
          <w:tcPr>
            <w:tcW w:w="1500" w:type="dxa"/>
            <w:shd w:val="clear" w:color="auto" w:fill="F2F2F2"/>
            <w:vAlign w:val="center"/>
            <w:tcMar>
              <w:top w:w="70" w:type="dxa"/>
              <w:bottom w:w="70" w:type="dxa"/>
              <w:left w:w="100" w:type="dxa"/>
              <w:right w:w="100" w:type="dxa"/>
            </w:tcMar>
          </w:tcPr>
          <w:p w14:paraId="7199D212" w14:textId="3BCC8CF6" w:rsidR="00AB2B83" w:rsidRDefault="00000000">
            <w:pPr>
              <w:spacing w:before="0" w:after="30" w:line="259" w:lineRule="auto"/>
              <w:jc w:val="center"/>
              <w:keepNext/>
            </w:pPr>
            <w:r>
              <w:rPr>
                <w:color w:val="000000"/>
                <w:lang w:val="es-MX"/>
              </w:rPr>
              <w:t xml:space="preserve">Horas</w:t>
            </w:r>
          </w:p>
        </w:tc>
        <w:tc>
          <w:tcPr>
            <w:tcW w:w="2260" w:type="dxa"/>
            <w:shd w:val="clear" w:color="auto" w:fill="F2F2F2"/>
            <w:vAlign w:val="center"/>
            <w:tcMar>
              <w:top w:w="70" w:type="dxa"/>
              <w:bottom w:w="70" w:type="dxa"/>
              <w:left w:w="100" w:type="dxa"/>
              <w:right w:w="100" w:type="dxa"/>
            </w:tcMar>
          </w:tcPr>
          <w:p w14:paraId="351CF972" w14:textId="77777777" w:rsidR="00AB2B83" w:rsidRDefault="00000000">
            <w:pPr>
              <w:spacing w:before="0" w:after="30" w:line="259" w:lineRule="auto"/>
              <w:jc w:val="center"/>
              <w:keepNext/>
            </w:pPr>
            <w:r>
              <w:rPr>
                <w:color w:val="000000"/>
                <w:lang w:val="es-MX"/>
              </w:rPr>
              <w:t xml:space="preserve">Subtotal MXN</w:t>
            </w:r>
          </w:p>
        </w:tc>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Gestión de proyecto</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$180.00</w:t>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76</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$13,680.00</w:t>
            </w:r>
          </w:p>
        </w:tc>
        <w:trPr>
          <w:cantSplit/>
        </w:trPr>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Analista</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$160.00</w:t>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56</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$8,960.00</w:t>
            </w:r>
          </w:p>
        </w:tc>
        <w:trPr>
          <w:cantSplit/>
        </w:trPr>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UX/UI</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$150.00</w:t>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64</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$9,600.00</w:t>
            </w:r>
          </w:p>
        </w:tc>
        <w:trPr>
          <w:cantSplit/>
        </w:trPr>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Desarrollo web, móvil y API</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$180.00</w:t>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940</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$169,200.00</w:t>
            </w:r>
          </w:p>
        </w:tc>
        <w:trPr>
          <w:cantSplit/>
        </w:trPr>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Pruebas QA</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$130.00</w:t>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216</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$28,080.00</w:t>
            </w:r>
          </w:p>
        </w:tc>
        <w:trPr>
          <w:cantSplit/>
        </w:trPr>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DevOps</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$190.00</w:t>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120</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$22,800.00</w:t>
            </w:r>
          </w:p>
        </w:tc>
        <w:trPr>
          <w:cantSplit/>
        </w:trPr>
      </w:tr>
      <w:tr w:rsidR="00AB2B83" w14:paraId="408D52E9" w14:textId="77777777">
        <w:tc>
          <w:tcPr>
            <w:tcW w:w="38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pPr>
            <w:r>
              <w:rPr>
                <w:b/>
                <w:color w:val="000000"/>
                <w:lang w:val="es-MX"/>
              </w:rPr>
              <w:t xml:space="preserve">Total mano de obra</w:t>
            </w:r>
          </w:p>
        </w:tc>
        <w:tc>
          <w:tcPr>
            <w:tcW w:w="18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pPr>
            <w:r>
              <w:rPr>
                <w:b/>
                <w:color w:val="000000"/>
                <w:lang w:val="es-MX"/>
              </w:rPr>
              <w:t xml:space="preserve"/>
            </w:r>
          </w:p>
        </w:tc>
        <w:tc>
          <w:tcPr>
            <w:tcW w:w="150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pPr>
            <w:r>
              <w:rPr>
                <w:b/>
                <w:color w:val="000000"/>
                <w:lang w:val="es-MX"/>
              </w:rPr>
              <w:t xml:space="preserve">1472</w:t>
            </w:r>
          </w:p>
        </w:tc>
        <w:tc>
          <w:tcPr>
            <w:tcW w:w="226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pPr>
            <w:r>
              <w:rPr>
                <w:b/>
                <w:color w:val="000000"/>
                <w:lang w:val="es-MX"/>
              </w:rPr>
              <w:t xml:space="preserve">$252,320.00</w:t>
            </w:r>
          </w:p>
        </w:tc>
        <w:trPr>
          <w:cantSplit/>
        </w:trPr>
      </w:tr>
    </w:tbl>
    <w:p w14:paraId="67974953" w14:textId="77777777" w:rsidR="00AB2B83" w:rsidRPr="003D280D" w:rsidRDefault="00000000">
      <w:pPr>
        <w:rPr>
          <w:lang w:val="es-MX"/>
        </w:rPr>
        <w:keepLines/>
        <w:spacing w:before="120"/>
      </w:pPr>
      <w:r>
        <w:rPr>
          <w:color w:val="000000"/>
          <w:lang w:val="es-MX"/>
        </w:rPr>
        <w:t xml:space="preserve">Las tarifas son supuestos de costo integral por hora, no salarios verificados, honorarios aceptados ni una encuesta de mercado. Incluyen una reserva interna por herramientas y gastos indirectos; por ello no se vuelve a cargar un porcentaje general por esos conceptos. En la entrega académica permiten valorar el esfuerzo del equipo, aunque no se paguen como nómina.</w:t>
      </w:r>
    </w:p>
    <w:p w14:paraId="67974953" w14:textId="77777777" w:rsidR="00AB2B83" w:rsidRPr="003D280D" w:rsidRDefault="00000000">
      <w:pPr>
        <w:rPr>
          <w:lang w:val="es-MX"/>
        </w:rPr>
        <w:keepLines/>
      </w:pPr>
      <w:r>
        <w:rPr>
          <w:color w:val="000000"/>
          <w:lang w:val="es-MX"/>
        </w:rPr>
        <w:t xml:space="preserve">Distribución propuesta: Juan Diego 76 h de gestión, 56 de análisis, 120 de DevOps y 116 de desarrollo; Emmanuel 368 h de desarrollo; Diego 368 h de desarrollo; Osvaldo 216 h de QA, 64 de UX y 88 de desarrollo. Cada integrante suma 368 h; el equipo suma 1472 h.</w:t>
      </w:r>
    </w:p>
    <w:p w14:paraId="359A4D45" w14:textId="77777777" w:rsidR="00AB2B83" w:rsidRDefault="00000000">
      <w:pPr>
        <w:pStyle w:val="Ttulo3"/>
        <w:keepLines/>
        <w:keepNext/>
      </w:pPr>
      <w:r>
        <w:rPr>
          <w:color w:val="000000"/>
          <w:lang w:val="es-MX"/>
        </w:rPr>
        <w:t xml:space="preserve">5 Costos no laborales</w:t>
      </w:r>
    </w:p>
    <w:p w14:paraId="67974953" w14:textId="77777777" w:rsidR="00AB2B83" w:rsidRPr="003D280D" w:rsidRDefault="00000000">
      <w:pPr>
        <w:rPr>
          <w:lang w:val="es-MX"/>
        </w:rPr>
        <w:keepLines/>
      </w:pPr>
      <w:r>
        <w:rPr>
          <w:color w:val="000000"/>
          <w:lang w:val="es-MX"/>
        </w:rPr>
        <w:t xml:space="preserve">Se reservan seis ciclos mensuales para preparación, piloto y cierre. Se usa un tipo de cambio presupuestal de 20.00 MXN por USD; es un supuesto para calcular y no una cotización cambiaria. Los precios de referencia se consultaron el 14/10/2026, sin compras ni contratos efectuados.</w:t>
      </w:r>
    </w:p>
    <w:tbl>
      <w:tblPr>
        <w:tblStyle w:val="Tablaconcuadrcula"/>
        <w:tblW w:w="9360" w:type="dxa"/>
        <w:tblLayout w:type="fixed"/>
        <w:tblLook w:val="0420" w:firstRow="1" w:lastRow="0" w:firstColumn="0" w:lastColumn="0" w:noHBand="0" w:noVBand="1"/>
      </w:tblPr>
      <w:tblGrid>
        <w:gridCol w:w="3350"/>
        <w:gridCol w:w="3900"/>
        <w:gridCol w:w="2110"/>
      </w:tblGrid>
      <w:tr w:rsidR="00AB2B83" w14:paraId="0AF9D962" w14:textId="77777777">
        <w:trPr>
          <w:tblHeader/>
          <w:cantSplit/>
        </w:trPr>
        <w:tc>
          <w:tcPr>
            <w:tcW w:w="3350" w:type="dxa"/>
            <w:shd w:val="clear" w:color="auto" w:fill="F2F2F2"/>
            <w:vAlign w:val="center"/>
            <w:tcMar>
              <w:top w:w="70" w:type="dxa"/>
              <w:bottom w:w="70" w:type="dxa"/>
              <w:left w:w="100" w:type="dxa"/>
              <w:right w:w="100" w:type="dxa"/>
            </w:tcMar>
          </w:tcPr>
          <w:p w14:paraId="6425861D" w14:textId="77777777" w:rsidR="00AB2B83" w:rsidRDefault="00000000">
            <w:pPr>
              <w:spacing w:before="0" w:after="30" w:line="259" w:lineRule="auto"/>
              <w:jc w:val="left"/>
              <w:keepNext/>
            </w:pPr>
            <w:r>
              <w:rPr>
                <w:color w:val="000000"/>
                <w:lang w:val="es-MX"/>
              </w:rPr>
              <w:t xml:space="preserve">Concepto</w:t>
            </w:r>
          </w:p>
        </w:tc>
        <w:tc>
          <w:tcPr>
            <w:tcW w:w="3900" w:type="dxa"/>
            <w:shd w:val="clear" w:color="auto" w:fill="F2F2F2"/>
            <w:vAlign w:val="center"/>
            <w:tcMar>
              <w:top w:w="70" w:type="dxa"/>
              <w:bottom w:w="70" w:type="dxa"/>
              <w:left w:w="100" w:type="dxa"/>
              <w:right w:w="100" w:type="dxa"/>
            </w:tcMar>
          </w:tcPr>
          <w:p w14:paraId="0E96EA91" w14:textId="77777777" w:rsidR="00AB2B83" w:rsidRDefault="00000000">
            <w:pPr>
              <w:spacing w:before="0" w:after="30" w:line="259" w:lineRule="auto"/>
              <w:jc w:val="left"/>
              <w:keepNext/>
            </w:pPr>
            <w:r>
              <w:rPr>
                <w:color w:val="000000"/>
                <w:lang w:val="es-MX"/>
              </w:rPr>
              <w:t xml:space="preserve">Tipo y base de cálculo</w:t>
            </w:r>
          </w:p>
        </w:tc>
        <w:tc>
          <w:tcPr>
            <w:tcW w:w="2110" w:type="dxa"/>
            <w:shd w:val="clear" w:color="auto" w:fill="F2F2F2"/>
            <w:vAlign w:val="center"/>
            <w:tcMar>
              <w:top w:w="70" w:type="dxa"/>
              <w:bottom w:w="70" w:type="dxa"/>
              <w:left w:w="100" w:type="dxa"/>
              <w:right w:w="100" w:type="dxa"/>
            </w:tcMar>
          </w:tcPr>
          <w:p w14:paraId="4EB182F5" w14:textId="77777777" w:rsidR="00AB2B83" w:rsidRDefault="00000000">
            <w:pPr>
              <w:spacing w:before="0" w:after="30" w:line="259" w:lineRule="auto"/>
              <w:jc w:val="center"/>
              <w:keepNext/>
            </w:pPr>
            <w:r>
              <w:rPr>
                <w:color w:val="000000"/>
                <w:lang w:val="es-MX"/>
              </w:rPr>
              <w:t xml:space="preserve">Costo MXN</w:t>
            </w:r>
          </w:p>
        </w:tc>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Herramientas y licencias adicionales</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Sin compra presupuestada; herramientas existentes</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Servidor de aplicación y PostgreSQL</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6 meses x USD 24 x 20; VM de 4 GiB y 2 vCPU [S1]</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$2,880.00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Respaldo diario de la VM</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6 meses x USD 7.20 x 20; 30% del servidor [S2]</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$864.00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Almacenamiento privado de respaldos</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6 meses x USD 5 x 20; plan base [S3]</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$600.00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Correo transaccional</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6 meses x USD 15 x 20; plan de referencia [S4]</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$1,800.00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Dominio y TLS</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Subdominio del dominio existente y certificado sin costo de licencia</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Google Play</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Alta única presupuestada de USD 25 x 20 [S5]</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$500.00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Apple Developer</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Primera anualidad presupuestada de USD 99 x 20 [S6]</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$1,980.00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Hardware, equipos y dispositivos</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Sin compra; aportación en especie por confirmar</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Viáticos, publicidad y subcontratación</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No contemplados en la propuesta base</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color w:val="000000"/>
                <w:lang w:val="es-MX"/>
              </w:rPr>
              <w:t xml:space="preserve">$0.00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keepNext/>
            </w:pPr>
            <w:r>
              <w:rPr>
                <w:color w:val="000000"/>
                <w:lang w:val="es-MX"/>
              </w:rPr>
              <w:t xml:space="preserve">Capacitación adicional</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keepNext/>
            </w:pPr>
            <w:r>
              <w:rPr>
                <w:color w:val="000000"/>
                <w:lang w:val="es-MX"/>
              </w:rPr>
              <w:t xml:space="preserve">Impartida por el equipo; horas incluidas en mano de obra</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keepNext/>
            </w:pPr>
            <w:r>
              <w:rPr>
                <w:color w:val="000000"/>
                <w:lang w:val="es-MX"/>
              </w:rPr>
              <w:t xml:space="preserve">$0.00</w:t>
            </w:r>
          </w:p>
        </w:tc>
        <w:trPr>
          <w:cantSplit/>
        </w:trPr>
      </w:tr>
      <w:tr w:rsidR="00AB2B83" w14:paraId="23C306C7" w14:textId="77777777">
        <w:tc>
          <w:tcPr>
            <w:tcW w:w="335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b/>
                <w:color w:val="000000"/>
                <w:lang w:val="es-MX"/>
              </w:rPr>
              <w:t xml:space="preserve">Total no laboral</w:t>
            </w:r>
          </w:p>
        </w:tc>
        <w:tc>
          <w:tcPr>
            <w:tcW w:w="39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b/>
                <w:color w:val="000000"/>
                <w:lang w:val="es-MX"/>
              </w:rPr>
              <w:t xml:space="preserve">Incluye 6 meses y las dos cuentas de tiendas</w:t>
            </w:r>
          </w:p>
        </w:tc>
        <w:tc>
          <w:tcPr>
            <w:tcW w:w="2110" w:type="dxa"/>
            <w:vAlign w:val="center"/>
            <w:tcMar>
              <w:top w:w="70" w:type="dxa"/>
              <w:bottom w:w="70" w:type="dxa"/>
              <w:left w:w="100" w:type="dxa"/>
              <w:right w:w="100" w:type="dxa"/>
            </w:tcMar>
          </w:tcPr>
          <w:p w14:paraId="0363B929" w14:textId="09B103E0" w:rsidR="00AB2B83" w:rsidRDefault="00741174">
            <w:pPr>
              <w:spacing w:before="0" w:after="30" w:line="259" w:lineRule="auto"/>
              <w:jc w:val="right"/>
            </w:pPr>
            <w:r>
              <w:rPr>
                <w:b/>
                <w:color w:val="000000"/>
                <w:lang w:val="es-MX"/>
              </w:rPr>
              <w:t xml:space="preserve">$8,624.00</w:t>
            </w:r>
          </w:p>
        </w:tc>
        <w:trPr>
          <w:cantSplit/>
        </w:trPr>
      </w:tr>
    </w:tbl>
    <w:p w14:paraId="67974953" w14:textId="77777777" w:rsidR="00AB2B83" w:rsidRPr="003D280D" w:rsidRDefault="00000000">
      <w:pPr>
        <w:rPr>
          <w:lang w:val="es-MX"/>
        </w:rPr>
        <w:keepLines/>
        <w:spacing w:before="120"/>
      </w:pPr>
      <w:r>
        <w:rPr>
          <w:color w:val="000000"/>
          <w:lang w:val="es-MX"/>
        </w:rPr>
        <w:t xml:space="preserve">Costo recurrente base: $1,024.00 MXN por mes antes de impuestos y excesos de uso; $6,144.00 por seis meses. Las tiendas suman $2,480.00 y no se contratan en el MVP. La VM es una base de piloto sin alta disponibilidad; capacidad, retención, región y tráfico se validan antes de publicar. Si falta el hardware previsto o se necesitan servicios adicionales, se tramita un cambio de presupuesto.</w:t>
      </w:r>
    </w:p>
    <w:p w14:paraId="359A4D45" w14:textId="77777777" w:rsidR="00AB2B83" w:rsidRDefault="00000000">
      <w:pPr>
        <w:pStyle w:val="Ttulo3"/>
        <w:keepLines/>
        <w:keepNext/>
      </w:pPr>
      <w:r>
        <w:rPr>
          <w:color w:val="000000"/>
          <w:lang w:val="es-MX"/>
        </w:rPr>
        <w:t xml:space="preserve">6 Resumen del presupuesto</w:t>
      </w:r>
    </w:p>
    <w:tbl>
      <w:tblPr>
        <w:tblStyle w:val="Tablaconcuadrcula"/>
        <w:tblW w:w="9360" w:type="dxa"/>
        <w:tblLayout w:type="fixed"/>
        <w:tblLook w:val="0420" w:firstRow="1" w:lastRow="0" w:firstColumn="0" w:lastColumn="0" w:noHBand="0" w:noVBand="1"/>
      </w:tblPr>
      <w:tblGrid>
        <w:gridCol w:w="6500"/>
        <w:gridCol w:w="2860"/>
      </w:tblGrid>
      <w:tr w:rsidR="00AB2B83" w14:paraId="6F52587B" w14:textId="77777777">
        <w:trPr>
          <w:tblHeader/>
          <w:cantSplit/>
        </w:trPr>
        <w:tc>
          <w:tcPr>
            <w:tcW w:w="6500" w:type="dxa"/>
            <w:shd w:val="clear" w:color="auto" w:fill="F2F2F2"/>
            <w:vAlign w:val="center"/>
            <w:tcMar>
              <w:top w:w="70" w:type="dxa"/>
              <w:bottom w:w="70" w:type="dxa"/>
              <w:left w:w="100" w:type="dxa"/>
              <w:right w:w="100" w:type="dxa"/>
            </w:tcMar>
          </w:tcPr>
          <w:p w14:paraId="122A0E53" w14:textId="77777777" w:rsidR="00AB2B83" w:rsidRDefault="00000000">
            <w:pPr>
              <w:spacing w:before="0" w:after="30" w:line="259" w:lineRule="auto"/>
              <w:jc w:val="left"/>
              <w:keepNext/>
            </w:pPr>
            <w:r>
              <w:rPr>
                <w:color w:val="000000"/>
                <w:lang w:val="es-MX"/>
              </w:rPr>
              <w:t xml:space="preserve">Concepto</w:t>
            </w:r>
          </w:p>
        </w:tc>
        <w:tc>
          <w:tcPr>
            <w:tcW w:w="2860" w:type="dxa"/>
            <w:shd w:val="clear" w:color="auto" w:fill="F2F2F2"/>
            <w:vAlign w:val="center"/>
            <w:tcMar>
              <w:top w:w="70" w:type="dxa"/>
              <w:bottom w:w="70" w:type="dxa"/>
              <w:left w:w="100" w:type="dxa"/>
              <w:right w:w="100" w:type="dxa"/>
            </w:tcMar>
          </w:tcPr>
          <w:p w14:paraId="72743641" w14:textId="77777777" w:rsidR="00AB2B83" w:rsidRDefault="00000000">
            <w:pPr>
              <w:spacing w:before="0" w:after="30" w:line="259" w:lineRule="auto"/>
              <w:jc w:val="center"/>
              <w:keepNext/>
            </w:pPr>
            <w:r>
              <w:rPr>
                <w:color w:val="000000"/>
                <w:lang w:val="es-MX"/>
              </w:rPr>
              <w:t xml:space="preserve">Monto MXN</w:t>
            </w:r>
          </w:p>
        </w:tc>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A Mano de obra</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$252,320.00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B Costos no laborales</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$8,624.00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C Subtotal de recursos A + B</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$260,944.00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D Contingencia 15% de C</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$39,141.60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Costo académico estimado C + D</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$300,085.60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E Utilidad del escenario comercial</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$75,021.40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F Precio antes de IVA C + D + E</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$375,107.00</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keepNext/>
            </w:pPr>
            <w:r>
              <w:rPr>
                <w:color w:val="000000"/>
                <w:lang w:val="es-MX"/>
              </w:rPr>
              <w:t xml:space="preserve">G IVA del escenario 16% de F</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keepNext/>
            </w:pPr>
            <w:r>
              <w:rPr>
                <w:color w:val="000000"/>
                <w:lang w:val="es-MX"/>
              </w:rPr>
              <w:t xml:space="preserve">$60,017.12</w:t>
            </w:r>
          </w:p>
        </w:tc>
        <w:trPr>
          <w:cantSplit/>
        </w:trPr>
      </w:tr>
      <w:tr w:rsidR="00AB2B83" w14:paraId="266FDC5E" w14:textId="77777777">
        <w:tc>
          <w:tcPr>
            <w:tcW w:w="6500" w:type="dxa"/>
            <w:vAlign w:val="center"/>
            <w:tcMar>
              <w:top w:w="70" w:type="dxa"/>
              <w:bottom w:w="70" w:type="dxa"/>
              <w:left w:w="100" w:type="dxa"/>
              <w:right w:w="100" w:type="dxa"/>
            </w:tcMar>
          </w:tcPr>
          <w:p w14:paraId="45194877" w14:textId="77777777" w:rsidR="00AB2B83" w:rsidRDefault="00000000">
            <w:pPr>
              <w:spacing w:before="0" w:after="30" w:line="259" w:lineRule="auto"/>
              <w:jc w:val="left"/>
            </w:pPr>
            <w:r>
              <w:rPr>
                <w:b/>
                <w:color w:val="000000"/>
                <w:lang w:val="es-MX"/>
              </w:rPr>
              <w:t xml:space="preserve">Total comercial estimado</w:t>
            </w:r>
          </w:p>
        </w:tc>
        <w:tc>
          <w:tcPr>
            <w:tcW w:w="2860" w:type="dxa"/>
            <w:vAlign w:val="center"/>
            <w:tcMar>
              <w:top w:w="70" w:type="dxa"/>
              <w:bottom w:w="70" w:type="dxa"/>
              <w:left w:w="100" w:type="dxa"/>
              <w:right w:w="100" w:type="dxa"/>
            </w:tcMar>
          </w:tcPr>
          <w:p w14:paraId="75FDD8B7" w14:textId="77777777" w:rsidR="00AB2B83" w:rsidRDefault="00000000">
            <w:pPr>
              <w:spacing w:before="0" w:after="30" w:line="259" w:lineRule="auto"/>
              <w:jc w:val="right"/>
            </w:pPr>
            <w:r>
              <w:rPr>
                <w:b/>
                <w:color w:val="000000"/>
                <w:lang w:val="es-MX"/>
              </w:rPr>
              <w:t xml:space="preserve">$435,124.12</w:t>
            </w:r>
          </w:p>
        </w:tc>
        <w:trPr>
          <w:cantSplit/>
        </w:trPr>
      </w:tr>
    </w:tbl>
    <w:p w14:paraId="67974953" w14:textId="77777777" w:rsidR="00AB2B83" w:rsidRPr="003D280D" w:rsidRDefault="00000000">
      <w:pPr>
        <w:rPr>
          <w:lang w:val="es-MX"/>
        </w:rPr>
        <w:keepLines/>
        <w:spacing w:before="120"/>
      </w:pPr>
      <w:r>
        <w:rPr>
          <w:color w:val="000000"/>
          <w:lang w:val="es-MX"/>
        </w:rPr>
        <w:t xml:space="preserve">Para el uso académico, el valor del proyecto es $300,085.60 MXN e incluye el esfuerzo valorado y contingencia, sin utilidad comercial ni IVA de una venta. Para una contratación, se plantea un margen bruto del 20% sobre el precio antes de IVA: F = (C + D) / 0.80. Por eso la utilidad es $75,021.40 y no simplemente el 20% del costo. El IVA del 16% se muestra como escenario general y requiere validar el tratamiento fiscal y las facturas de proveedores antes de cotizar formalmente. [S7]</w:t>
      </w:r>
    </w:p>
    <w:tbl>
      <w:tblPr>
        <w:tblStyle w:val="Tablaconcuadrcula"/>
        <w:tblW w:w="9360" w:type="dxa"/>
        <w:tblLayout w:type="fixed"/>
        <w:tblLook w:val="0420" w:firstRow="1" w:lastRow="0" w:firstColumn="0" w:lastColumn="0" w:noHBand="0" w:noVBand="1"/>
      </w:tblPr>
      <w:tblGrid>
        <w:gridCol w:w="3300"/>
        <w:gridCol w:w="900"/>
        <w:gridCol w:w="2580"/>
        <w:gridCol w:w="2580"/>
      </w:tblGrid>
      <w:tr w:rsidR="00AB2B83" w14:paraId="339A5C76" w14:textId="77777777">
        <w:trPr>
          <w:tblHeader/>
          <w:cantSplit/>
        </w:trPr>
        <w:tc>
          <w:tcPr>
            <w:tcW w:w="3300" w:type="dxa"/>
            <w:shd w:val="clear" w:color="auto" w:fill="F2F2F2"/>
            <w:vAlign w:val="center"/>
            <w:tcMar>
              <w:top w:w="70" w:type="dxa"/>
              <w:bottom w:w="70" w:type="dxa"/>
              <w:left w:w="100" w:type="dxa"/>
              <w:right w:w="100" w:type="dxa"/>
            </w:tcMar>
          </w:tcPr>
          <w:p w14:paraId="22FD81E9" w14:textId="77777777" w:rsidR="00AB2B83" w:rsidRDefault="00000000">
            <w:pPr>
              <w:spacing w:before="0" w:after="30" w:line="259" w:lineRule="auto"/>
              <w:jc w:val="left"/>
              <w:keepNext/>
            </w:pPr>
            <w:r>
              <w:rPr>
                <w:color w:val="000000"/>
                <w:lang w:val="es-MX"/>
              </w:rPr>
              <w:t xml:space="preserve">Etapa</w:t>
            </w:r>
          </w:p>
        </w:tc>
        <w:tc>
          <w:tcPr>
            <w:tcW w:w="900" w:type="dxa"/>
            <w:shd w:val="clear" w:color="auto" w:fill="F2F2F2"/>
            <w:vAlign w:val="center"/>
            <w:tcMar>
              <w:top w:w="70" w:type="dxa"/>
              <w:bottom w:w="70" w:type="dxa"/>
              <w:left w:w="100" w:type="dxa"/>
              <w:right w:w="100" w:type="dxa"/>
            </w:tcMar>
          </w:tcPr>
          <w:p w14:paraId="726D992A" w14:textId="77777777" w:rsidR="00AB2B83" w:rsidRDefault="00000000">
            <w:pPr>
              <w:spacing w:before="0" w:after="30" w:line="259" w:lineRule="auto"/>
              <w:jc w:val="center"/>
              <w:keepNext/>
            </w:pPr>
            <w:r>
              <w:rPr>
                <w:color w:val="000000"/>
                <w:lang w:val="es-MX"/>
              </w:rPr>
              <w:t xml:space="preserve">Horas</w:t>
            </w:r>
          </w:p>
        </w:tc>
        <w:tc>
          <w:tcPr>
            <w:tcW w:w="2580" w:type="dxa"/>
            <w:shd w:val="clear" w:color="auto" w:fill="F2F2F2"/>
            <w:vAlign w:val="center"/>
            <w:tcMar>
              <w:top w:w="70" w:type="dxa"/>
              <w:bottom w:w="70" w:type="dxa"/>
              <w:left w:w="100" w:type="dxa"/>
              <w:right w:w="100" w:type="dxa"/>
            </w:tcMar>
          </w:tcPr>
          <w:p w14:paraId="7199D212" w14:textId="3BCC8CF6" w:rsidR="00AB2B83" w:rsidRDefault="00000000">
            <w:pPr>
              <w:spacing w:before="0" w:after="30" w:line="259" w:lineRule="auto"/>
              <w:jc w:val="center"/>
              <w:keepNext/>
            </w:pPr>
            <w:r>
              <w:rPr>
                <w:color w:val="000000"/>
                <w:lang w:val="es-MX"/>
              </w:rPr>
              <w:t xml:space="preserve">Costo académico</w:t>
            </w:r>
          </w:p>
        </w:tc>
        <w:tc>
          <w:tcPr>
            <w:tcW w:w="2580" w:type="dxa"/>
            <w:shd w:val="clear" w:color="auto" w:fill="F2F2F2"/>
            <w:vAlign w:val="center"/>
            <w:tcMar>
              <w:top w:w="70" w:type="dxa"/>
              <w:bottom w:w="70" w:type="dxa"/>
              <w:left w:w="100" w:type="dxa"/>
              <w:right w:w="100" w:type="dxa"/>
            </w:tcMar>
          </w:tcPr>
          <w:p w14:paraId="351CF972" w14:textId="77777777" w:rsidR="00AB2B83" w:rsidRDefault="00000000">
            <w:pPr>
              <w:spacing w:before="0" w:after="30" w:line="259" w:lineRule="auto"/>
              <w:jc w:val="center"/>
              <w:keepNext/>
            </w:pPr>
            <w:r>
              <w:rPr>
                <w:color w:val="000000"/>
                <w:lang w:val="es-MX"/>
              </w:rPr>
              <w:t xml:space="preserve">Total comercial con IVA</w:t>
            </w:r>
          </w:p>
        </w:tc>
      </w:tr>
      <w:tr w:rsidR="00AB2B83" w14:paraId="408D52E9" w14:textId="77777777">
        <w:tc>
          <w:tcPr>
            <w:tcW w:w="33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MVP incluido en el total</w:t>
            </w:r>
          </w:p>
        </w:tc>
        <w:tc>
          <w:tcPr>
            <w:tcW w:w="9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384</w:t>
            </w:r>
          </w:p>
        </w:tc>
        <w:tc>
          <w:tcPr>
            <w:tcW w:w="258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$77,473.20</w:t>
            </w:r>
          </w:p>
        </w:tc>
        <w:tc>
          <w:tcPr>
            <w:tcW w:w="258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$112,336.14</w:t>
            </w:r>
          </w:p>
        </w:tc>
        <w:trPr>
          <w:cantSplit/>
        </w:trPr>
      </w:tr>
      <w:tr w:rsidR="00AB2B83" w14:paraId="408D52E9" w14:textId="77777777">
        <w:tc>
          <w:tcPr>
            <w:tcW w:w="33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keepNext/>
            </w:pPr>
            <w:r>
              <w:rPr>
                <w:color w:val="000000"/>
                <w:lang w:val="es-MX"/>
              </w:rPr>
              <w:t xml:space="preserve">Ampliación posterior al MVP</w:t>
            </w:r>
          </w:p>
        </w:tc>
        <w:tc>
          <w:tcPr>
            <w:tcW w:w="9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keepNext/>
            </w:pPr>
            <w:r>
              <w:rPr>
                <w:color w:val="000000"/>
                <w:lang w:val="es-MX"/>
              </w:rPr>
              <w:t xml:space="preserve">1088</w:t>
            </w:r>
          </w:p>
        </w:tc>
        <w:tc>
          <w:tcPr>
            <w:tcW w:w="258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keepNext/>
            </w:pPr>
            <w:r>
              <w:rPr>
                <w:color w:val="000000"/>
                <w:lang w:val="es-MX"/>
              </w:rPr>
              <w:t xml:space="preserve">$222,612.40</w:t>
            </w:r>
          </w:p>
        </w:tc>
        <w:tc>
          <w:tcPr>
            <w:tcW w:w="258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keepNext/>
            </w:pPr>
            <w:r>
              <w:rPr>
                <w:color w:val="000000"/>
                <w:lang w:val="es-MX"/>
              </w:rPr>
              <w:t xml:space="preserve">$322,787.98</w:t>
            </w:r>
          </w:p>
        </w:tc>
        <w:trPr>
          <w:cantSplit/>
        </w:trPr>
      </w:tr>
      <w:tr w:rsidR="00AB2B83" w14:paraId="408D52E9" w14:textId="77777777">
        <w:tc>
          <w:tcPr>
            <w:tcW w:w="3300" w:type="dxa"/>
            <w:vAlign w:val="center"/>
            <w:tcMar>
              <w:top w:w="70" w:type="dxa"/>
              <w:bottom w:w="70" w:type="dxa"/>
              <w:left w:w="100" w:type="dxa"/>
              <w:right w:w="100" w:type="dxa"/>
            </w:tcMar>
          </w:tcPr>
          <w:p w14:paraId="43D9F0BC" w14:textId="77777777" w:rsidR="00AB2B83" w:rsidRDefault="00000000">
            <w:pPr>
              <w:spacing w:before="0" w:after="30" w:line="259" w:lineRule="auto"/>
              <w:jc w:val="left"/>
            </w:pPr>
            <w:r>
              <w:rPr>
                <w:b/>
                <w:color w:val="000000"/>
                <w:lang w:val="es-MX"/>
              </w:rPr>
              <w:t xml:space="preserve">Proyecto integral</w:t>
            </w:r>
          </w:p>
        </w:tc>
        <w:tc>
          <w:tcPr>
            <w:tcW w:w="900" w:type="dxa"/>
            <w:vAlign w:val="center"/>
            <w:tcMar>
              <w:top w:w="70" w:type="dxa"/>
              <w:bottom w:w="70" w:type="dxa"/>
              <w:left w:w="100" w:type="dxa"/>
              <w:right w:w="100" w:type="dxa"/>
            </w:tcMar>
          </w:tcPr>
          <w:p w14:paraId="1AF53C48" w14:textId="77777777" w:rsidR="00AB2B83" w:rsidRDefault="00000000">
            <w:pPr>
              <w:spacing w:before="0" w:after="30" w:line="259" w:lineRule="auto"/>
              <w:jc w:val="right"/>
            </w:pPr>
            <w:r>
              <w:rPr>
                <w:b/>
                <w:color w:val="000000"/>
                <w:lang w:val="es-MX"/>
              </w:rPr>
              <w:t xml:space="preserve">1472</w:t>
            </w:r>
          </w:p>
        </w:tc>
        <w:tc>
          <w:tcPr>
            <w:tcW w:w="2580" w:type="dxa"/>
            <w:vAlign w:val="center"/>
            <w:tcMar>
              <w:top w:w="70" w:type="dxa"/>
              <w:bottom w:w="70" w:type="dxa"/>
              <w:left w:w="100" w:type="dxa"/>
              <w:right w:w="100" w:type="dxa"/>
            </w:tcMar>
          </w:tcPr>
          <w:p w14:paraId="4D1663C8" w14:textId="77777777" w:rsidR="00AB2B83" w:rsidRDefault="00000000">
            <w:pPr>
              <w:spacing w:before="0" w:after="30" w:line="259" w:lineRule="auto"/>
              <w:jc w:val="right"/>
            </w:pPr>
            <w:r>
              <w:rPr>
                <w:b/>
                <w:color w:val="000000"/>
                <w:lang w:val="es-MX"/>
              </w:rPr>
              <w:t xml:space="preserve">$300,085.60</w:t>
            </w:r>
          </w:p>
        </w:tc>
        <w:tc>
          <w:tcPr>
            <w:tcW w:w="2580" w:type="dxa"/>
            <w:vAlign w:val="center"/>
            <w:tcMar>
              <w:top w:w="70" w:type="dxa"/>
              <w:bottom w:w="70" w:type="dxa"/>
              <w:left w:w="100" w:type="dxa"/>
              <w:right w:w="100" w:type="dxa"/>
            </w:tcMar>
          </w:tcPr>
          <w:p w14:paraId="6EFED063" w14:textId="77777777" w:rsidR="00AB2B83" w:rsidRDefault="00000000">
            <w:pPr>
              <w:spacing w:before="0" w:after="30" w:line="259" w:lineRule="auto"/>
              <w:jc w:val="right"/>
            </w:pPr>
            <w:r>
              <w:rPr>
                <w:b/>
                <w:color w:val="000000"/>
                <w:lang w:val="es-MX"/>
              </w:rPr>
              <w:t xml:space="preserve">$435,124.12</w:t>
            </w:r>
          </w:p>
        </w:tc>
        <w:trPr>
          <w:cantSplit/>
        </w:trPr>
      </w:tr>
    </w:tbl>
    <w:p w14:paraId="67974953" w14:textId="77777777" w:rsidR="00AB2B83" w:rsidRPr="003D280D" w:rsidRDefault="00000000">
      <w:pPr>
        <w:rPr>
          <w:lang w:val="es-MX"/>
        </w:rPr>
        <w:keepLines/>
        <w:spacing w:before="120"/>
      </w:pPr>
      <w:r>
        <w:rPr>
          <w:color w:val="000000"/>
          <w:lang w:val="es-MX"/>
        </w:rPr>
        <w:t xml:space="preserve">El MVP no se suma de nuevo al importe integral. La exposición académica debe distinguir el costo de oportunidad del equipo de los desembolsos a proveedores: estos últimos se estiman en $8,624.00 para el periodo completo, antes de su facturación e impuestos reales.</w:t>
      </w:r>
    </w:p>
    <w:p w14:paraId="359A4D45" w14:textId="77777777" w:rsidR="00AB2B83" w:rsidRDefault="00000000">
      <w:pPr>
        <w:pStyle w:val="Ttulo3"/>
        <w:keepLines/>
        <w:keepNext/>
      </w:pPr>
      <w:r>
        <w:rPr>
          <w:color w:val="000000"/>
          <w:lang w:val="es-MX"/>
        </w:rPr>
        <w:t xml:space="preserve">7 Calendario y forma de pago</w:t>
      </w:r>
    </w:p>
    <w:p w14:paraId="67974953" w14:textId="77777777" w:rsidR="00AB2B83" w:rsidRPr="003D280D" w:rsidRDefault="00000000">
      <w:pPr>
        <w:rPr>
          <w:lang w:val="es-MX"/>
        </w:rPr>
        <w:keepLines/>
      </w:pPr>
      <w:r>
        <w:rPr>
          <w:color w:val="000000"/>
          <w:lang w:val="es-MX"/>
        </w:rPr>
        <w:t xml:space="preserve">Calendario propuesto: 19/10/2026 a 26/03/2027. Son 23 semanas calendario con pausa del 21/12/2026 al 01/01/2027 y 21 semanas activas. La capacidad máxima prevista es 4 integrantes x 20 h x 21 semanas = 1680 h. La base de 1472 h deja 208 h de holgura de calendario; no se añaden a la WBS como trabajo ya contratado.</w:t>
      </w:r>
    </w:p>
    <w:tbl>
      <w:tblPr>
        <w:tblStyle w:val="Tablaconcuadrcula"/>
        <w:tblW w:w="9360" w:type="dxa"/>
        <w:tblLayout w:type="fixed"/>
        <w:tblLook w:val="0420" w:firstRow="1" w:lastRow="0" w:firstColumn="0" w:lastColumn="0" w:noHBand="0" w:noVBand="1"/>
      </w:tblPr>
      <w:tblGrid>
        <w:gridCol w:w="2200"/>
        <w:gridCol w:w="3600"/>
        <w:gridCol w:w="3560"/>
      </w:tblGrid>
      <w:tr w:rsidR="00AB2B83" w14:paraId="0AF9D962" w14:textId="77777777">
        <w:trPr>
          <w:tblHeader/>
          <w:cantSplit/>
        </w:trPr>
        <w:tc>
          <w:tcPr>
            <w:tcW w:w="2200" w:type="dxa"/>
            <w:shd w:val="clear" w:color="auto" w:fill="F2F2F2"/>
            <w:vAlign w:val="center"/>
            <w:tcMar>
              <w:top w:w="70" w:type="dxa"/>
              <w:bottom w:w="70" w:type="dxa"/>
              <w:left w:w="100" w:type="dxa"/>
              <w:right w:w="100" w:type="dxa"/>
            </w:tcMar>
          </w:tcPr>
          <w:p w14:paraId="6425861D" w14:textId="77777777" w:rsidR="00AB2B83" w:rsidRDefault="00000000">
            <w:pPr>
              <w:spacing w:before="0" w:after="30" w:line="259" w:lineRule="auto"/>
              <w:jc w:val="left"/>
              <w:keepNext/>
            </w:pPr>
            <w:r>
              <w:rPr>
                <w:color w:val="000000"/>
                <w:lang w:val="es-MX"/>
              </w:rPr>
              <w:t xml:space="preserve">Periodo</w:t>
            </w:r>
          </w:p>
        </w:tc>
        <w:tc>
          <w:tcPr>
            <w:tcW w:w="3600" w:type="dxa"/>
            <w:shd w:val="clear" w:color="auto" w:fill="F2F2F2"/>
            <w:vAlign w:val="center"/>
            <w:tcMar>
              <w:top w:w="70" w:type="dxa"/>
              <w:bottom w:w="70" w:type="dxa"/>
              <w:left w:w="100" w:type="dxa"/>
              <w:right w:w="100" w:type="dxa"/>
            </w:tcMar>
          </w:tcPr>
          <w:p w14:paraId="0E96EA91" w14:textId="77777777" w:rsidR="00AB2B83" w:rsidRDefault="00000000">
            <w:pPr>
              <w:spacing w:before="0" w:after="30" w:line="259" w:lineRule="auto"/>
              <w:jc w:val="left"/>
              <w:keepNext/>
            </w:pPr>
            <w:r>
              <w:rPr>
                <w:color w:val="000000"/>
                <w:lang w:val="es-MX"/>
              </w:rPr>
              <w:t xml:space="preserve">Actividad principal</w:t>
            </w:r>
          </w:p>
        </w:tc>
        <w:tc>
          <w:tcPr>
            <w:tcW w:w="3560" w:type="dxa"/>
            <w:shd w:val="clear" w:color="auto" w:fill="F2F2F2"/>
            <w:vAlign w:val="center"/>
            <w:tcMar>
              <w:top w:w="70" w:type="dxa"/>
              <w:bottom w:w="70" w:type="dxa"/>
              <w:left w:w="100" w:type="dxa"/>
              <w:right w:w="100" w:type="dxa"/>
            </w:tcMar>
          </w:tcPr>
          <w:p w14:paraId="4EB182F5" w14:textId="77777777" w:rsidR="00AB2B83" w:rsidRDefault="00000000">
            <w:pPr>
              <w:spacing w:before="0" w:after="30" w:line="259" w:lineRule="auto"/>
              <w:jc w:val="left"/>
              <w:keepNext/>
            </w:pPr>
            <w:r>
              <w:rPr>
                <w:color w:val="000000"/>
                <w:lang w:val="es-MX"/>
              </w:rPr>
              <w:t xml:space="preserve">Salida verificable</w:t>
            </w:r>
          </w:p>
        </w:tc>
      </w:tr>
      <w:tr w:rsidR="00AB2B83" w14:paraId="23C306C7" w14:textId="77777777">
        <w:tc>
          <w:tcPr>
            <w:tcW w:w="220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19 oct a 27 nov 2026</w:t>
            </w:r>
          </w:p>
        </w:tc>
        <w:tc>
          <w:tcPr>
            <w:tcW w:w="36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Seis semanas del MVP</w:t>
            </w:r>
          </w:p>
        </w:tc>
        <w:tc>
          <w:tcPr>
            <w:tcW w:w="3560" w:type="dxa"/>
            <w:vAlign w:val="center"/>
            <w:tcMar>
              <w:top w:w="70" w:type="dxa"/>
              <w:bottom w:w="70" w:type="dxa"/>
              <w:left w:w="100" w:type="dxa"/>
              <w:right w:w="100" w:type="dxa"/>
            </w:tcMar>
          </w:tcPr>
          <w:p w14:paraId="0363B929" w14:textId="09B103E0" w:rsidR="00AB2B83" w:rsidRDefault="00741174">
            <w:pPr>
              <w:spacing w:before="0" w:after="30" w:line="259" w:lineRule="auto"/>
              <w:jc w:val="left"/>
            </w:pPr>
            <w:r>
              <w:rPr>
                <w:color w:val="000000"/>
                <w:lang w:val="es-MX"/>
              </w:rPr>
              <w:t xml:space="preserve">Piloto del recorrido cliente, plan y contrato</w:t>
            </w:r>
          </w:p>
        </w:tc>
        <w:trPr>
          <w:cantSplit/>
        </w:trPr>
      </w:tr>
      <w:tr w:rsidR="00AB2B83" w14:paraId="23C306C7" w14:textId="77777777">
        <w:tc>
          <w:tcPr>
            <w:tcW w:w="220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30 nov a 18 dic 2026</w:t>
            </w:r>
          </w:p>
        </w:tc>
        <w:tc>
          <w:tcPr>
            <w:tcW w:w="36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Inventario, facturación y preparación de red</w:t>
            </w:r>
          </w:p>
        </w:tc>
        <w:tc>
          <w:tcPr>
            <w:tcW w:w="3560" w:type="dxa"/>
            <w:vAlign w:val="center"/>
            <w:tcMar>
              <w:top w:w="70" w:type="dxa"/>
              <w:bottom w:w="70" w:type="dxa"/>
              <w:left w:w="100" w:type="dxa"/>
              <w:right w:w="100" w:type="dxa"/>
            </w:tcMar>
          </w:tcPr>
          <w:p w14:paraId="0363B929" w14:textId="09B103E0" w:rsidR="00AB2B83" w:rsidRDefault="00741174">
            <w:pPr>
              <w:spacing w:before="0" w:after="30" w:line="259" w:lineRule="auto"/>
              <w:jc w:val="left"/>
            </w:pPr>
            <w:r>
              <w:rPr>
                <w:color w:val="000000"/>
                <w:lang w:val="es-MX"/>
              </w:rPr>
              <w:t xml:space="preserve">Operaciones administrativas persistentes</w:t>
            </w:r>
          </w:p>
        </w:tc>
        <w:trPr>
          <w:cantSplit/>
        </w:trPr>
      </w:tr>
      <w:tr w:rsidR="00AB2B83" w14:paraId="23C306C7" w14:textId="77777777">
        <w:tc>
          <w:tcPr>
            <w:tcW w:w="220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21 dic 2026 a 1 ene 2027</w:t>
            </w:r>
          </w:p>
        </w:tc>
        <w:tc>
          <w:tcPr>
            <w:tcW w:w="36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Pausa de planificación</w:t>
            </w:r>
          </w:p>
        </w:tc>
        <w:tc>
          <w:tcPr>
            <w:tcW w:w="3560" w:type="dxa"/>
            <w:vAlign w:val="center"/>
            <w:tcMar>
              <w:top w:w="70" w:type="dxa"/>
              <w:bottom w:w="70" w:type="dxa"/>
              <w:left w:w="100" w:type="dxa"/>
              <w:right w:w="100" w:type="dxa"/>
            </w:tcMar>
          </w:tcPr>
          <w:p w14:paraId="0363B929" w14:textId="09B103E0" w:rsidR="00AB2B83" w:rsidRDefault="00741174">
            <w:pPr>
              <w:spacing w:before="0" w:after="30" w:line="259" w:lineRule="auto"/>
              <w:jc w:val="left"/>
            </w:pPr>
            <w:r>
              <w:rPr>
                <w:color w:val="000000"/>
                <w:lang w:val="es-MX"/>
              </w:rPr>
              <w:t xml:space="preserve">Sin capacidad de ejecución comprometida</w:t>
            </w:r>
          </w:p>
        </w:tc>
        <w:trPr>
          <w:cantSplit/>
        </w:trPr>
      </w:tr>
      <w:tr w:rsidR="00AB2B83" w14:paraId="23C306C7" w14:textId="77777777">
        <w:tc>
          <w:tcPr>
            <w:tcW w:w="220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4 a 29 ene 2027</w:t>
            </w:r>
          </w:p>
        </w:tc>
        <w:tc>
          <w:tcPr>
            <w:tcW w:w="36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Servidores y construcción de la app en paralelo</w:t>
            </w:r>
          </w:p>
        </w:tc>
        <w:tc>
          <w:tcPr>
            <w:tcW w:w="3560" w:type="dxa"/>
            <w:vAlign w:val="center"/>
            <w:tcMar>
              <w:top w:w="70" w:type="dxa"/>
              <w:bottom w:w="70" w:type="dxa"/>
              <w:left w:w="100" w:type="dxa"/>
              <w:right w:w="100" w:type="dxa"/>
            </w:tcMar>
          </w:tcPr>
          <w:p w14:paraId="0363B929" w14:textId="09B103E0" w:rsidR="00AB2B83" w:rsidRDefault="00741174">
            <w:pPr>
              <w:spacing w:before="0" w:after="30" w:line="259" w:lineRule="auto"/>
              <w:jc w:val="left"/>
            </w:pPr>
            <w:r>
              <w:rPr>
                <w:color w:val="000000"/>
                <w:lang w:val="es-MX"/>
              </w:rPr>
              <w:t xml:space="preserve">MikroTik de laboratorio y app conectada a API</w:t>
            </w:r>
          </w:p>
        </w:tc>
        <w:trPr>
          <w:cantSplit/>
        </w:trPr>
      </w:tr>
      <w:tr w:rsidR="00AB2B83" w14:paraId="23C306C7" w14:textId="77777777">
        <w:tc>
          <w:tcPr>
            <w:tcW w:w="2200" w:type="dxa"/>
            <w:vAlign w:val="center"/>
            <w:tcMar>
              <w:top w:w="70" w:type="dxa"/>
              <w:bottom w:w="70" w:type="dxa"/>
              <w:left w:w="100" w:type="dxa"/>
              <w:right w:w="100" w:type="dxa"/>
            </w:tcMar>
          </w:tcPr>
          <w:p w14:paraId="2E15390E" w14:textId="77777777" w:rsidR="00AB2B83" w:rsidRDefault="00000000">
            <w:pPr>
              <w:spacing w:before="0" w:after="30" w:line="259" w:lineRule="auto"/>
              <w:jc w:val="left"/>
              <w:keepNext/>
            </w:pPr>
            <w:r>
              <w:rPr>
                <w:color w:val="000000"/>
                <w:lang w:val="es-MX"/>
              </w:rPr>
              <w:t xml:space="preserve">1 a 26 feb 2027</w:t>
            </w:r>
          </w:p>
        </w:tc>
        <w:tc>
          <w:tcPr>
            <w:tcW w:w="36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keepNext/>
            </w:pPr>
            <w:r>
              <w:rPr>
                <w:color w:val="000000"/>
                <w:lang w:val="es-MX"/>
              </w:rPr>
              <w:t xml:space="preserve">Integración de ERP, app y CMC</w:t>
            </w:r>
          </w:p>
        </w:tc>
        <w:tc>
          <w:tcPr>
            <w:tcW w:w="3560" w:type="dxa"/>
            <w:vAlign w:val="center"/>
            <w:tcMar>
              <w:top w:w="70" w:type="dxa"/>
              <w:bottom w:w="70" w:type="dxa"/>
              <w:left w:w="100" w:type="dxa"/>
              <w:right w:w="100" w:type="dxa"/>
            </w:tcMar>
          </w:tcPr>
          <w:p w14:paraId="0363B929" w14:textId="09B103E0" w:rsidR="00AB2B83" w:rsidRDefault="00741174">
            <w:pPr>
              <w:spacing w:before="0" w:after="30" w:line="259" w:lineRule="auto"/>
              <w:jc w:val="left"/>
              <w:keepNext/>
            </w:pPr>
            <w:r>
              <w:rPr>
                <w:color w:val="000000"/>
                <w:lang w:val="es-MX"/>
              </w:rPr>
              <w:t xml:space="preserve">Beta integral sometida a aceptación</w:t>
            </w:r>
          </w:p>
        </w:tc>
        <w:trPr>
          <w:cantSplit/>
        </w:trPr>
      </w:tr>
      <w:tr w:rsidR="00AB2B83" w14:paraId="23C306C7" w14:textId="77777777">
        <w:tc>
          <w:tcPr>
            <w:tcW w:w="2200" w:type="dxa"/>
            <w:vAlign w:val="center"/>
            <w:tcMar>
              <w:top w:w="70" w:type="dxa"/>
              <w:bottom w:w="70" w:type="dxa"/>
              <w:left w:w="100" w:type="dxa"/>
              <w:right w:w="100" w:type="dxa"/>
            </w:tcMar>
          </w:tcPr>
          <w:p w14:paraId="2E15390E" w14:textId="77777777" w:rsidR="00AB2B83" w:rsidRDefault="00000000">
            <w:pPr>
              <w:spacing w:before="0" w:after="30" w:line="259" w:lineRule="auto"/>
              <w:jc w:val="left"/>
            </w:pPr>
            <w:r>
              <w:rPr>
                <w:color w:val="000000"/>
                <w:lang w:val="es-MX"/>
              </w:rPr>
              <w:t xml:space="preserve">1 a 26 mar 2027</w:t>
            </w:r>
          </w:p>
        </w:tc>
        <w:tc>
          <w:tcPr>
            <w:tcW w:w="3600" w:type="dxa"/>
            <w:vAlign w:val="center"/>
            <w:tcMar>
              <w:top w:w="70" w:type="dxa"/>
              <w:bottom w:w="70" w:type="dxa"/>
              <w:left w:w="100" w:type="dxa"/>
              <w:right w:w="100" w:type="dxa"/>
            </w:tcMar>
          </w:tcPr>
          <w:p w14:paraId="7F3A8741" w14:textId="77777777" w:rsidR="00AB2B83" w:rsidRDefault="00000000">
            <w:pPr>
              <w:spacing w:before="0" w:after="30" w:line="259" w:lineRule="auto"/>
              <w:jc w:val="left"/>
            </w:pPr>
            <w:r>
              <w:rPr>
                <w:color w:val="000000"/>
                <w:lang w:val="es-MX"/>
              </w:rPr>
              <w:t xml:space="preserve">Pruebas externas, correcciones y transferencia</w:t>
            </w:r>
          </w:p>
        </w:tc>
        <w:tc>
          <w:tcPr>
            <w:tcW w:w="3560" w:type="dxa"/>
            <w:vAlign w:val="center"/>
            <w:tcMar>
              <w:top w:w="70" w:type="dxa"/>
              <w:bottom w:w="70" w:type="dxa"/>
              <w:left w:w="100" w:type="dxa"/>
              <w:right w:w="100" w:type="dxa"/>
            </w:tcMar>
          </w:tcPr>
          <w:p w14:paraId="0363B929" w14:textId="09B103E0" w:rsidR="00AB2B83" w:rsidRDefault="00741174">
            <w:pPr>
              <w:spacing w:before="0" w:after="30" w:line="259" w:lineRule="auto"/>
              <w:jc w:val="left"/>
            </w:pPr>
            <w:r>
              <w:rPr>
                <w:color w:val="000000"/>
                <w:lang w:val="es-MX"/>
              </w:rPr>
              <w:t xml:space="preserve">Liberación controlada y cierre del alcance</w:t>
            </w:r>
          </w:p>
        </w:tc>
        <w:trPr>
          <w:cantSplit/>
        </w:trPr>
      </w:tr>
    </w:tbl>
    <w:p w14:paraId="67974953" w14:textId="77777777" w:rsidR="00AB2B83" w:rsidRPr="003D280D" w:rsidRDefault="00000000">
      <w:pPr>
        <w:rPr>
          <w:lang w:val="es-MX"/>
        </w:rPr>
        <w:keepLines/>
        <w:spacing w:before="120"/>
      </w:pPr>
      <w:r>
        <w:rPr>
          <w:color w:val="000000"/>
          <w:lang w:val="es-MX"/>
        </w:rPr>
        <w:t xml:space="preserve">La meta de febrero corresponde a conclusión funcional y beta integral. Marzo contempla estabilización, resultados del piloto y cierre; no se promete aprobación de tiendas ni una fecha pública independiente de los accesos y autorizaciones del ISP.</w:t>
      </w:r>
    </w:p>
    <w:tbl>
      <w:tblPr>
        <w:tblStyle w:val="Tablaconcuadrcula"/>
        <w:tblW w:w="9360" w:type="dxa"/>
        <w:tblLayout w:type="fixed"/>
        <w:tblLook w:val="0420" w:firstRow="1" w:lastRow="0" w:firstColumn="0" w:lastColumn="0" w:noHBand="0" w:noVBand="1"/>
      </w:tblPr>
      <w:tblGrid>
        <w:gridCol w:w="1250"/>
        <w:gridCol w:w="3100"/>
        <w:gridCol w:w="1650"/>
        <w:gridCol w:w="1000"/>
        <w:gridCol w:w="2360"/>
      </w:tblGrid>
      <w:tr w:rsidR="00AB2B83" w14:paraId="4AC3B08A" w14:textId="77777777">
        <w:trPr>
          <w:tblHeader/>
          <w:cantSplit/>
        </w:trPr>
        <w:tc>
          <w:tcPr>
            <w:tcW w:w="1250" w:type="dxa"/>
            <w:shd w:val="clear" w:color="auto" w:fill="F2F2F2"/>
            <w:vAlign w:val="center"/>
            <w:tcMar>
              <w:top w:w="70" w:type="dxa"/>
              <w:bottom w:w="70" w:type="dxa"/>
              <w:left w:w="100" w:type="dxa"/>
              <w:right w:w="100" w:type="dxa"/>
            </w:tcMar>
          </w:tcPr>
          <w:p w14:paraId="3A0F0657" w14:textId="77777777" w:rsidR="00AB2B83" w:rsidRDefault="00000000">
            <w:pPr>
              <w:spacing w:before="0" w:after="30" w:line="259" w:lineRule="auto"/>
              <w:jc w:val="left"/>
              <w:keepNext/>
            </w:pPr>
            <w:r>
              <w:rPr>
                <w:color w:val="000000"/>
                <w:lang w:val="es-MX"/>
              </w:rPr>
              <w:t xml:space="preserve">Hito</w:t>
            </w:r>
          </w:p>
        </w:tc>
        <w:tc>
          <w:tcPr>
            <w:tcW w:w="3100" w:type="dxa"/>
            <w:shd w:val="clear" w:color="auto" w:fill="F2F2F2"/>
            <w:vAlign w:val="center"/>
            <w:tcMar>
              <w:top w:w="70" w:type="dxa"/>
              <w:bottom w:w="70" w:type="dxa"/>
              <w:left w:w="100" w:type="dxa"/>
              <w:right w:w="100" w:type="dxa"/>
            </w:tcMar>
          </w:tcPr>
          <w:p w14:paraId="6D7312DE" w14:textId="77777777" w:rsidR="00AB2B83" w:rsidRDefault="00000000">
            <w:pPr>
              <w:spacing w:before="0" w:after="30" w:line="259" w:lineRule="auto"/>
              <w:jc w:val="left"/>
              <w:keepNext/>
            </w:pPr>
            <w:r>
              <w:rPr>
                <w:color w:val="000000"/>
                <w:lang w:val="es-MX"/>
              </w:rPr>
              <w:t xml:space="preserve">Entregable propuesto</w:t>
            </w:r>
          </w:p>
        </w:tc>
        <w:tc>
          <w:tcPr>
            <w:tcW w:w="1650" w:type="dxa"/>
            <w:shd w:val="clear" w:color="auto" w:fill="F2F2F2"/>
            <w:vAlign w:val="center"/>
            <w:tcMar>
              <w:top w:w="70" w:type="dxa"/>
              <w:bottom w:w="70" w:type="dxa"/>
              <w:left w:w="100" w:type="dxa"/>
              <w:right w:w="100" w:type="dxa"/>
            </w:tcMar>
          </w:tcPr>
          <w:p w14:paraId="72A7B1A0" w14:textId="77777777" w:rsidR="00AB2B83" w:rsidRDefault="00000000">
            <w:pPr>
              <w:spacing w:before="0" w:after="30" w:line="259" w:lineRule="auto"/>
              <w:jc w:val="left"/>
              <w:keepNext/>
            </w:pPr>
            <w:r>
              <w:rPr>
                <w:color w:val="000000"/>
                <w:lang w:val="es-MX"/>
              </w:rPr>
              <w:t xml:space="preserve">Fecha</w:t>
            </w:r>
          </w:p>
        </w:tc>
        <w:tc>
          <w:tcPr>
            <w:tcW w:w="1000" w:type="dxa"/>
            <w:shd w:val="clear" w:color="auto" w:fill="F2F2F2"/>
            <w:vAlign w:val="center"/>
            <w:tcMar>
              <w:top w:w="70" w:type="dxa"/>
              <w:bottom w:w="70" w:type="dxa"/>
              <w:left w:w="100" w:type="dxa"/>
              <w:right w:w="100" w:type="dxa"/>
            </w:tcMar>
          </w:tcPr>
          <w:p w14:paraId="26564562" w14:textId="77777777" w:rsidR="00AB2B83" w:rsidRDefault="00000000">
            <w:pPr>
              <w:spacing w:before="0" w:after="30" w:line="259" w:lineRule="auto"/>
              <w:jc w:val="center"/>
              <w:keepNext/>
            </w:pPr>
            <w:r>
              <w:rPr>
                <w:color w:val="000000"/>
                <w:lang w:val="es-MX"/>
              </w:rPr>
              <w:t xml:space="preserve">Pago</w:t>
            </w:r>
          </w:p>
        </w:tc>
        <w:tc>
          <w:tcPr>
            <w:tcW w:w="2360" w:type="dxa"/>
            <w:shd w:val="clear" w:color="auto" w:fill="F2F2F2"/>
            <w:vAlign w:val="center"/>
            <w:tcMar>
              <w:top w:w="70" w:type="dxa"/>
              <w:bottom w:w="70" w:type="dxa"/>
              <w:left w:w="100" w:type="dxa"/>
              <w:right w:w="100" w:type="dxa"/>
            </w:tcMar>
          </w:tcPr>
          <w:p w14:paraId="56B076A0" w14:textId="77777777" w:rsidR="00AB2B83" w:rsidRDefault="00000000">
            <w:pPr>
              <w:spacing w:before="0" w:after="30" w:line="259" w:lineRule="auto"/>
              <w:jc w:val="center"/>
              <w:keepNext/>
            </w:pPr>
            <w:r>
              <w:rPr>
                <w:color w:val="000000"/>
                <w:lang w:val="es-MX"/>
              </w:rPr>
              <w:t xml:space="preserve">Monto MXN</w:t>
            </w:r>
          </w:p>
        </w:tc>
      </w:tr>
      <w:tr w:rsidR="00AB2B83" w14:paraId="0E974053" w14:textId="77777777">
        <w:tc>
          <w:tcPr>
            <w:tcW w:w="1250" w:type="dxa"/>
            <w:vAlign w:val="center"/>
            <w:tcMar>
              <w:top w:w="70" w:type="dxa"/>
              <w:bottom w:w="70" w:type="dxa"/>
              <w:left w:w="100" w:type="dxa"/>
              <w:right w:w="100" w:type="dxa"/>
            </w:tcMar>
          </w:tcPr>
          <w:p w14:paraId="505884DC" w14:textId="77777777" w:rsidR="00AB2B83" w:rsidRDefault="00000000">
            <w:pPr>
              <w:spacing w:before="0" w:after="30" w:line="259" w:lineRule="auto"/>
              <w:jc w:val="left"/>
              <w:keepNext/>
            </w:pPr>
            <w:r>
              <w:rPr>
                <w:color w:val="000000"/>
                <w:lang w:val="es-MX"/>
              </w:rPr>
              <w:t xml:space="preserve">Anticipo</w:t>
            </w:r>
          </w:p>
        </w:tc>
        <w:tc>
          <w:tcPr>
            <w:tcW w:w="3100" w:type="dxa"/>
            <w:vAlign w:val="center"/>
            <w:tcMar>
              <w:top w:w="70" w:type="dxa"/>
              <w:bottom w:w="70" w:type="dxa"/>
              <w:left w:w="100" w:type="dxa"/>
              <w:right w:w="100" w:type="dxa"/>
            </w:tcMar>
          </w:tcPr>
          <w:p w14:paraId="6EEDC6E2" w14:textId="77777777" w:rsidR="00AB2B83" w:rsidRDefault="00000000">
            <w:pPr>
              <w:spacing w:before="0" w:after="30" w:line="259" w:lineRule="auto"/>
              <w:jc w:val="left"/>
              <w:keepNext/>
            </w:pPr>
            <w:r>
              <w:rPr>
                <w:color w:val="000000"/>
                <w:lang w:val="es-MX"/>
              </w:rPr>
              <w:t xml:space="preserve">Alcance y arranque acordados</w:t>
            </w:r>
          </w:p>
        </w:tc>
        <w:tc>
          <w:tcPr>
            <w:tcW w:w="1650" w:type="dxa"/>
            <w:vAlign w:val="center"/>
            <w:tcMar>
              <w:top w:w="70" w:type="dxa"/>
              <w:bottom w:w="70" w:type="dxa"/>
              <w:left w:w="100" w:type="dxa"/>
              <w:right w:w="100" w:type="dxa"/>
            </w:tcMar>
          </w:tcPr>
          <w:p w14:paraId="32F3B993" w14:textId="77777777" w:rsidR="00AB2B83" w:rsidRDefault="00000000">
            <w:pPr>
              <w:spacing w:before="0" w:after="30" w:line="259" w:lineRule="auto"/>
              <w:jc w:val="left"/>
              <w:keepNext/>
            </w:pPr>
            <w:r>
              <w:rPr>
                <w:color w:val="000000"/>
                <w:lang w:val="es-MX"/>
              </w:rPr>
              <w:t xml:space="preserve">19/10/2026</w:t>
            </w:r>
          </w:p>
        </w:tc>
        <w:tc>
          <w:tcPr>
            <w:tcW w:w="1000" w:type="dxa"/>
            <w:vAlign w:val="center"/>
            <w:tcMar>
              <w:top w:w="70" w:type="dxa"/>
              <w:bottom w:w="70" w:type="dxa"/>
              <w:left w:w="100" w:type="dxa"/>
              <w:right w:w="100" w:type="dxa"/>
            </w:tcMar>
          </w:tcPr>
          <w:p w14:paraId="4B22FE6A" w14:textId="77777777" w:rsidR="00AB2B83" w:rsidRDefault="00000000">
            <w:pPr>
              <w:spacing w:before="0" w:after="30" w:line="259" w:lineRule="auto"/>
              <w:jc w:val="center"/>
              <w:keepNext/>
            </w:pPr>
            <w:r>
              <w:rPr>
                <w:color w:val="000000"/>
                <w:lang w:val="es-MX"/>
              </w:rPr>
              <w:t xml:space="preserve">20%</w:t>
            </w:r>
          </w:p>
        </w:tc>
        <w:tc>
          <w:tcPr>
            <w:tcW w:w="2360" w:type="dxa"/>
            <w:vAlign w:val="center"/>
            <w:tcMar>
              <w:top w:w="70" w:type="dxa"/>
              <w:bottom w:w="70" w:type="dxa"/>
              <w:left w:w="100" w:type="dxa"/>
              <w:right w:w="100" w:type="dxa"/>
            </w:tcMar>
          </w:tcPr>
          <w:p w14:paraId="18870353" w14:textId="77777777" w:rsidR="00AB2B83" w:rsidRDefault="00000000">
            <w:pPr>
              <w:spacing w:before="0" w:after="30" w:line="259" w:lineRule="auto"/>
              <w:jc w:val="right"/>
              <w:keepNext/>
            </w:pPr>
            <w:r>
              <w:rPr>
                <w:color w:val="000000"/>
                <w:lang w:val="es-MX"/>
              </w:rPr>
              <w:t xml:space="preserve">$87,024.82</w:t>
            </w:r>
          </w:p>
        </w:tc>
        <w:trPr>
          <w:cantSplit/>
        </w:trPr>
      </w:tr>
      <w:tr w:rsidR="00AB2B83" w14:paraId="0E974053" w14:textId="77777777">
        <w:tc>
          <w:tcPr>
            <w:tcW w:w="1250" w:type="dxa"/>
            <w:vAlign w:val="center"/>
            <w:tcMar>
              <w:top w:w="70" w:type="dxa"/>
              <w:bottom w:w="70" w:type="dxa"/>
              <w:left w:w="100" w:type="dxa"/>
              <w:right w:w="100" w:type="dxa"/>
            </w:tcMar>
          </w:tcPr>
          <w:p w14:paraId="505884DC" w14:textId="77777777" w:rsidR="00AB2B83" w:rsidRDefault="00000000">
            <w:pPr>
              <w:spacing w:before="0" w:after="30" w:line="259" w:lineRule="auto"/>
              <w:jc w:val="left"/>
              <w:keepNext/>
            </w:pPr>
            <w:r>
              <w:rPr>
                <w:color w:val="000000"/>
                <w:lang w:val="es-MX"/>
              </w:rPr>
              <w:t xml:space="preserve">Hito 1</w:t>
            </w:r>
          </w:p>
        </w:tc>
        <w:tc>
          <w:tcPr>
            <w:tcW w:w="3100" w:type="dxa"/>
            <w:vAlign w:val="center"/>
            <w:tcMar>
              <w:top w:w="70" w:type="dxa"/>
              <w:bottom w:w="70" w:type="dxa"/>
              <w:left w:w="100" w:type="dxa"/>
              <w:right w:w="100" w:type="dxa"/>
            </w:tcMar>
          </w:tcPr>
          <w:p w14:paraId="6EEDC6E2" w14:textId="77777777" w:rsidR="00AB2B83" w:rsidRDefault="00000000">
            <w:pPr>
              <w:spacing w:before="0" w:after="30" w:line="259" w:lineRule="auto"/>
              <w:jc w:val="left"/>
              <w:keepNext/>
            </w:pPr>
            <w:r>
              <w:rPr>
                <w:color w:val="000000"/>
                <w:lang w:val="es-MX"/>
              </w:rPr>
              <w:t xml:space="preserve">MVP aceptado con evidencia</w:t>
            </w:r>
          </w:p>
        </w:tc>
        <w:tc>
          <w:tcPr>
            <w:tcW w:w="1650" w:type="dxa"/>
            <w:vAlign w:val="center"/>
            <w:tcMar>
              <w:top w:w="70" w:type="dxa"/>
              <w:bottom w:w="70" w:type="dxa"/>
              <w:left w:w="100" w:type="dxa"/>
              <w:right w:w="100" w:type="dxa"/>
            </w:tcMar>
          </w:tcPr>
          <w:p w14:paraId="32F3B993" w14:textId="77777777" w:rsidR="00AB2B83" w:rsidRDefault="00000000">
            <w:pPr>
              <w:spacing w:before="0" w:after="30" w:line="259" w:lineRule="auto"/>
              <w:jc w:val="left"/>
              <w:keepNext/>
            </w:pPr>
            <w:r>
              <w:rPr>
                <w:color w:val="000000"/>
                <w:lang w:val="es-MX"/>
              </w:rPr>
              <w:t xml:space="preserve">27/11/2026</w:t>
            </w:r>
          </w:p>
        </w:tc>
        <w:tc>
          <w:tcPr>
            <w:tcW w:w="1000" w:type="dxa"/>
            <w:vAlign w:val="center"/>
            <w:tcMar>
              <w:top w:w="70" w:type="dxa"/>
              <w:bottom w:w="70" w:type="dxa"/>
              <w:left w:w="100" w:type="dxa"/>
              <w:right w:w="100" w:type="dxa"/>
            </w:tcMar>
          </w:tcPr>
          <w:p w14:paraId="4B22FE6A" w14:textId="77777777" w:rsidR="00AB2B83" w:rsidRDefault="00000000">
            <w:pPr>
              <w:spacing w:before="0" w:after="30" w:line="259" w:lineRule="auto"/>
              <w:jc w:val="center"/>
              <w:keepNext/>
            </w:pPr>
            <w:r>
              <w:rPr>
                <w:color w:val="000000"/>
                <w:lang w:val="es-MX"/>
              </w:rPr>
              <w:t xml:space="preserve">10%</w:t>
            </w:r>
          </w:p>
        </w:tc>
        <w:tc>
          <w:tcPr>
            <w:tcW w:w="2360" w:type="dxa"/>
            <w:vAlign w:val="center"/>
            <w:tcMar>
              <w:top w:w="70" w:type="dxa"/>
              <w:bottom w:w="70" w:type="dxa"/>
              <w:left w:w="100" w:type="dxa"/>
              <w:right w:w="100" w:type="dxa"/>
            </w:tcMar>
          </w:tcPr>
          <w:p w14:paraId="18870353" w14:textId="77777777" w:rsidR="00AB2B83" w:rsidRDefault="00000000">
            <w:pPr>
              <w:spacing w:before="0" w:after="30" w:line="259" w:lineRule="auto"/>
              <w:jc w:val="right"/>
              <w:keepNext/>
            </w:pPr>
            <w:r>
              <w:rPr>
                <w:color w:val="000000"/>
                <w:lang w:val="es-MX"/>
              </w:rPr>
              <w:t xml:space="preserve">$43,512.41</w:t>
            </w:r>
          </w:p>
        </w:tc>
        <w:trPr>
          <w:cantSplit/>
        </w:trPr>
      </w:tr>
      <w:tr w:rsidR="00AB2B83" w14:paraId="0E974053" w14:textId="77777777">
        <w:tc>
          <w:tcPr>
            <w:tcW w:w="1250" w:type="dxa"/>
            <w:vAlign w:val="center"/>
            <w:tcMar>
              <w:top w:w="70" w:type="dxa"/>
              <w:bottom w:w="70" w:type="dxa"/>
              <w:left w:w="100" w:type="dxa"/>
              <w:right w:w="100" w:type="dxa"/>
            </w:tcMar>
          </w:tcPr>
          <w:p w14:paraId="505884DC" w14:textId="77777777" w:rsidR="00AB2B83" w:rsidRDefault="00000000">
            <w:pPr>
              <w:spacing w:before="0" w:after="30" w:line="259" w:lineRule="auto"/>
              <w:jc w:val="left"/>
              <w:keepNext/>
            </w:pPr>
            <w:r>
              <w:rPr>
                <w:color w:val="000000"/>
                <w:lang w:val="es-MX"/>
              </w:rPr>
              <w:t xml:space="preserve">Hito 2</w:t>
            </w:r>
          </w:p>
        </w:tc>
        <w:tc>
          <w:tcPr>
            <w:tcW w:w="3100" w:type="dxa"/>
            <w:vAlign w:val="center"/>
            <w:tcMar>
              <w:top w:w="70" w:type="dxa"/>
              <w:bottom w:w="70" w:type="dxa"/>
              <w:left w:w="100" w:type="dxa"/>
              <w:right w:w="100" w:type="dxa"/>
            </w:tcMar>
          </w:tcPr>
          <w:p w14:paraId="6EEDC6E2" w14:textId="77777777" w:rsidR="00AB2B83" w:rsidRDefault="00000000">
            <w:pPr>
              <w:spacing w:before="0" w:after="30" w:line="259" w:lineRule="auto"/>
              <w:jc w:val="left"/>
              <w:keepNext/>
            </w:pPr>
            <w:r>
              <w:rPr>
                <w:color w:val="000000"/>
                <w:lang w:val="es-MX"/>
              </w:rPr>
              <w:t xml:space="preserve">Beta de ERP, servidores y app</w:t>
            </w:r>
          </w:p>
        </w:tc>
        <w:tc>
          <w:tcPr>
            <w:tcW w:w="1650" w:type="dxa"/>
            <w:vAlign w:val="center"/>
            <w:tcMar>
              <w:top w:w="70" w:type="dxa"/>
              <w:bottom w:w="70" w:type="dxa"/>
              <w:left w:w="100" w:type="dxa"/>
              <w:right w:w="100" w:type="dxa"/>
            </w:tcMar>
          </w:tcPr>
          <w:p w14:paraId="32F3B993" w14:textId="77777777" w:rsidR="00AB2B83" w:rsidRDefault="00000000">
            <w:pPr>
              <w:spacing w:before="0" w:after="30" w:line="259" w:lineRule="auto"/>
              <w:jc w:val="left"/>
              <w:keepNext/>
            </w:pPr>
            <w:r>
              <w:rPr>
                <w:color w:val="000000"/>
                <w:lang w:val="es-MX"/>
              </w:rPr>
              <w:t xml:space="preserve">26/02/2027</w:t>
            </w:r>
          </w:p>
        </w:tc>
        <w:tc>
          <w:tcPr>
            <w:tcW w:w="1000" w:type="dxa"/>
            <w:vAlign w:val="center"/>
            <w:tcMar>
              <w:top w:w="70" w:type="dxa"/>
              <w:bottom w:w="70" w:type="dxa"/>
              <w:left w:w="100" w:type="dxa"/>
              <w:right w:w="100" w:type="dxa"/>
            </w:tcMar>
          </w:tcPr>
          <w:p w14:paraId="4B22FE6A" w14:textId="77777777" w:rsidR="00AB2B83" w:rsidRDefault="00000000">
            <w:pPr>
              <w:spacing w:before="0" w:after="30" w:line="259" w:lineRule="auto"/>
              <w:jc w:val="center"/>
              <w:keepNext/>
            </w:pPr>
            <w:r>
              <w:rPr>
                <w:color w:val="000000"/>
                <w:lang w:val="es-MX"/>
              </w:rPr>
              <w:t xml:space="preserve">40%</w:t>
            </w:r>
          </w:p>
        </w:tc>
        <w:tc>
          <w:tcPr>
            <w:tcW w:w="2360" w:type="dxa"/>
            <w:vAlign w:val="center"/>
            <w:tcMar>
              <w:top w:w="70" w:type="dxa"/>
              <w:bottom w:w="70" w:type="dxa"/>
              <w:left w:w="100" w:type="dxa"/>
              <w:right w:w="100" w:type="dxa"/>
            </w:tcMar>
          </w:tcPr>
          <w:p w14:paraId="18870353" w14:textId="77777777" w:rsidR="00AB2B83" w:rsidRDefault="00000000">
            <w:pPr>
              <w:spacing w:before="0" w:after="30" w:line="259" w:lineRule="auto"/>
              <w:jc w:val="right"/>
              <w:keepNext/>
            </w:pPr>
            <w:r>
              <w:rPr>
                <w:color w:val="000000"/>
                <w:lang w:val="es-MX"/>
              </w:rPr>
              <w:t xml:space="preserve">$174,049.65</w:t>
            </w:r>
          </w:p>
        </w:tc>
        <w:trPr>
          <w:cantSplit/>
        </w:trPr>
      </w:tr>
      <w:tr w:rsidR="00AB2B83" w14:paraId="0E974053" w14:textId="77777777">
        <w:tc>
          <w:tcPr>
            <w:tcW w:w="1250" w:type="dxa"/>
            <w:vAlign w:val="center"/>
            <w:tcMar>
              <w:top w:w="70" w:type="dxa"/>
              <w:bottom w:w="70" w:type="dxa"/>
              <w:left w:w="100" w:type="dxa"/>
              <w:right w:w="100" w:type="dxa"/>
            </w:tcMar>
          </w:tcPr>
          <w:p w14:paraId="505884DC" w14:textId="77777777" w:rsidR="00AB2B83" w:rsidRDefault="00000000">
            <w:pPr>
              <w:spacing w:before="0" w:after="30" w:line="259" w:lineRule="auto"/>
              <w:jc w:val="left"/>
              <w:keepNext/>
            </w:pPr>
            <w:r>
              <w:rPr>
                <w:color w:val="000000"/>
                <w:lang w:val="es-MX"/>
              </w:rPr>
              <w:t xml:space="preserve">Entrega final</w:t>
            </w:r>
          </w:p>
        </w:tc>
        <w:tc>
          <w:tcPr>
            <w:tcW w:w="3100" w:type="dxa"/>
            <w:vAlign w:val="center"/>
            <w:tcMar>
              <w:top w:w="70" w:type="dxa"/>
              <w:bottom w:w="70" w:type="dxa"/>
              <w:left w:w="100" w:type="dxa"/>
              <w:right w:w="100" w:type="dxa"/>
            </w:tcMar>
          </w:tcPr>
          <w:p w14:paraId="6EEDC6E2" w14:textId="77777777" w:rsidR="00AB2B83" w:rsidRDefault="00000000">
            <w:pPr>
              <w:spacing w:before="0" w:after="30" w:line="259" w:lineRule="auto"/>
              <w:jc w:val="left"/>
              <w:keepNext/>
            </w:pPr>
            <w:r>
              <w:rPr>
                <w:color w:val="000000"/>
                <w:lang w:val="es-MX"/>
              </w:rPr>
              <w:t xml:space="preserve">Aceptación y transferencia</w:t>
            </w:r>
          </w:p>
        </w:tc>
        <w:tc>
          <w:tcPr>
            <w:tcW w:w="1650" w:type="dxa"/>
            <w:vAlign w:val="center"/>
            <w:tcMar>
              <w:top w:w="70" w:type="dxa"/>
              <w:bottom w:w="70" w:type="dxa"/>
              <w:left w:w="100" w:type="dxa"/>
              <w:right w:w="100" w:type="dxa"/>
            </w:tcMar>
          </w:tcPr>
          <w:p w14:paraId="32F3B993" w14:textId="77777777" w:rsidR="00AB2B83" w:rsidRDefault="00000000">
            <w:pPr>
              <w:spacing w:before="0" w:after="30" w:line="259" w:lineRule="auto"/>
              <w:jc w:val="left"/>
              <w:keepNext/>
            </w:pPr>
            <w:r>
              <w:rPr>
                <w:color w:val="000000"/>
                <w:lang w:val="es-MX"/>
              </w:rPr>
              <w:t xml:space="preserve">26/03/2027</w:t>
            </w:r>
          </w:p>
        </w:tc>
        <w:tc>
          <w:tcPr>
            <w:tcW w:w="1000" w:type="dxa"/>
            <w:vAlign w:val="center"/>
            <w:tcMar>
              <w:top w:w="70" w:type="dxa"/>
              <w:bottom w:w="70" w:type="dxa"/>
              <w:left w:w="100" w:type="dxa"/>
              <w:right w:w="100" w:type="dxa"/>
            </w:tcMar>
          </w:tcPr>
          <w:p w14:paraId="4B22FE6A" w14:textId="77777777" w:rsidR="00AB2B83" w:rsidRDefault="00000000">
            <w:pPr>
              <w:spacing w:before="0" w:after="30" w:line="259" w:lineRule="auto"/>
              <w:jc w:val="center"/>
              <w:keepNext/>
            </w:pPr>
            <w:r>
              <w:rPr>
                <w:color w:val="000000"/>
                <w:lang w:val="es-MX"/>
              </w:rPr>
              <w:t xml:space="preserve">30%</w:t>
            </w:r>
          </w:p>
        </w:tc>
        <w:tc>
          <w:tcPr>
            <w:tcW w:w="2360" w:type="dxa"/>
            <w:vAlign w:val="center"/>
            <w:tcMar>
              <w:top w:w="70" w:type="dxa"/>
              <w:bottom w:w="70" w:type="dxa"/>
              <w:left w:w="100" w:type="dxa"/>
              <w:right w:w="100" w:type="dxa"/>
            </w:tcMar>
          </w:tcPr>
          <w:p w14:paraId="18870353" w14:textId="77777777" w:rsidR="00AB2B83" w:rsidRDefault="00000000">
            <w:pPr>
              <w:spacing w:before="0" w:after="30" w:line="259" w:lineRule="auto"/>
              <w:jc w:val="right"/>
              <w:keepNext/>
            </w:pPr>
            <w:r>
              <w:rPr>
                <w:color w:val="000000"/>
                <w:lang w:val="es-MX"/>
              </w:rPr>
              <w:t xml:space="preserve">$130,537.24</w:t>
            </w:r>
          </w:p>
        </w:tc>
        <w:trPr>
          <w:cantSplit/>
        </w:trPr>
      </w:tr>
      <w:tr w:rsidR="00AB2B83" w14:paraId="0E974053" w14:textId="77777777">
        <w:tc>
          <w:tcPr>
            <w:tcW w:w="1250" w:type="dxa"/>
            <w:vAlign w:val="center"/>
            <w:tcMar>
              <w:top w:w="70" w:type="dxa"/>
              <w:bottom w:w="70" w:type="dxa"/>
              <w:left w:w="100" w:type="dxa"/>
              <w:right w:w="100" w:type="dxa"/>
            </w:tcMar>
          </w:tcPr>
          <w:p w14:paraId="505884DC" w14:textId="77777777" w:rsidR="00AB2B83" w:rsidRDefault="00000000">
            <w:pPr>
              <w:spacing w:before="0" w:after="30" w:line="259" w:lineRule="auto"/>
              <w:jc w:val="left"/>
            </w:pPr>
            <w:r>
              <w:rPr>
                <w:b/>
                <w:color w:val="000000"/>
                <w:lang w:val="es-MX"/>
              </w:rPr>
              <w:t xml:space="preserve">Total</w:t>
            </w:r>
          </w:p>
        </w:tc>
        <w:tc>
          <w:tcPr>
            <w:tcW w:w="3100" w:type="dxa"/>
            <w:vAlign w:val="center"/>
            <w:tcMar>
              <w:top w:w="70" w:type="dxa"/>
              <w:bottom w:w="70" w:type="dxa"/>
              <w:left w:w="100" w:type="dxa"/>
              <w:right w:w="100" w:type="dxa"/>
            </w:tcMar>
          </w:tcPr>
          <w:p w14:paraId="6EEDC6E2" w14:textId="77777777" w:rsidR="00AB2B83" w:rsidRDefault="00000000">
            <w:pPr>
              <w:spacing w:before="0" w:after="30" w:line="259" w:lineRule="auto"/>
              <w:jc w:val="left"/>
            </w:pPr>
            <w:r>
              <w:rPr>
                <w:b/>
                <w:color w:val="000000"/>
                <w:lang w:val="es-MX"/>
              </w:rPr>
              <w:t xml:space="preserve"/>
            </w:r>
          </w:p>
        </w:tc>
        <w:tc>
          <w:tcPr>
            <w:tcW w:w="1650" w:type="dxa"/>
            <w:vAlign w:val="center"/>
            <w:tcMar>
              <w:top w:w="70" w:type="dxa"/>
              <w:bottom w:w="70" w:type="dxa"/>
              <w:left w:w="100" w:type="dxa"/>
              <w:right w:w="100" w:type="dxa"/>
            </w:tcMar>
          </w:tcPr>
          <w:p w14:paraId="32F3B993" w14:textId="77777777" w:rsidR="00AB2B83" w:rsidRDefault="00000000">
            <w:pPr>
              <w:spacing w:before="0" w:after="30" w:line="259" w:lineRule="auto"/>
              <w:jc w:val="left"/>
            </w:pPr>
            <w:r>
              <w:rPr>
                <w:b/>
                <w:color w:val="000000"/>
                <w:lang w:val="es-MX"/>
              </w:rPr>
              <w:t xml:space="preserve"/>
            </w:r>
          </w:p>
        </w:tc>
        <w:tc>
          <w:tcPr>
            <w:tcW w:w="1000" w:type="dxa"/>
            <w:vAlign w:val="center"/>
            <w:tcMar>
              <w:top w:w="70" w:type="dxa"/>
              <w:bottom w:w="70" w:type="dxa"/>
              <w:left w:w="100" w:type="dxa"/>
              <w:right w:w="100" w:type="dxa"/>
            </w:tcMar>
          </w:tcPr>
          <w:p w14:paraId="4B22FE6A" w14:textId="77777777" w:rsidR="00AB2B83" w:rsidRDefault="00000000">
            <w:pPr>
              <w:spacing w:before="0" w:after="30" w:line="259" w:lineRule="auto"/>
              <w:jc w:val="center"/>
            </w:pPr>
            <w:r>
              <w:rPr>
                <w:b/>
                <w:color w:val="000000"/>
                <w:lang w:val="es-MX"/>
              </w:rPr>
              <w:t xml:space="preserve">100%</w:t>
            </w:r>
          </w:p>
        </w:tc>
        <w:tc>
          <w:tcPr>
            <w:tcW w:w="2360" w:type="dxa"/>
            <w:vAlign w:val="center"/>
            <w:tcMar>
              <w:top w:w="70" w:type="dxa"/>
              <w:bottom w:w="70" w:type="dxa"/>
              <w:left w:w="100" w:type="dxa"/>
              <w:right w:w="100" w:type="dxa"/>
            </w:tcMar>
          </w:tcPr>
          <w:p w14:paraId="18870353" w14:textId="77777777" w:rsidR="00AB2B83" w:rsidRDefault="00000000">
            <w:pPr>
              <w:spacing w:before="0" w:after="30" w:line="259" w:lineRule="auto"/>
              <w:jc w:val="right"/>
            </w:pPr>
            <w:r>
              <w:rPr>
                <w:b/>
                <w:color w:val="000000"/>
                <w:lang w:val="es-MX"/>
              </w:rPr>
              <w:t xml:space="preserve">$435,124.12</w:t>
            </w:r>
          </w:p>
        </w:tc>
        <w:trPr>
          <w:cantSplit/>
        </w:trPr>
      </w:tr>
    </w:tbl>
    <w:p w14:paraId="67974953" w14:textId="77777777" w:rsidR="00AB2B83" w:rsidRPr="003D280D" w:rsidRDefault="00000000">
      <w:pPr>
        <w:rPr>
          <w:lang w:val="es-MX"/>
        </w:rPr>
        <w:keepLines/>
        <w:spacing w:before="120"/>
      </w:pPr>
      <w:r>
        <w:rPr>
          <w:color w:val="000000"/>
          <w:lang w:val="es-MX"/>
        </w:rPr>
        <w:t xml:space="preserve">Los hitos constituyen un escenario comercial negociable, no cobros aprobados. Cada pago se condiciona a criterios de aceptación y evidencia del entregable. La aplicación fiscal y la administración de servicios a nombre de CometaLink se formalizan antes de contratar; las cuentas y recursos deben quedar bajo control de la empresa.</w:t>
      </w:r>
    </w:p>
    <w:p w14:paraId="359A4D45" w14:textId="77777777" w:rsidR="00AB2B83" w:rsidRDefault="00000000">
      <w:pPr>
        <w:pStyle w:val="Ttulo3"/>
        <w:keepLines/>
        <w:keepNext/>
      </w:pPr>
      <w:r>
        <w:rPr>
          <w:color w:val="000000"/>
          <w:lang w:val="es-MX"/>
        </w:rPr>
        <w:t xml:space="preserve">8 Riesgos principales</w:t>
      </w:r>
    </w:p>
    <w:tbl>
      <w:tblPr>
        <w:tblStyle w:val="Tablaconcuadrcula"/>
        <w:tblW w:w="9360" w:type="dxa"/>
        <w:tblLayout w:type="fixed"/>
        <w:tblLook w:val="0420" w:firstRow="1" w:lastRow="0" w:firstColumn="0" w:lastColumn="0" w:noHBand="0" w:noVBand="1"/>
      </w:tblPr>
      <w:tblGrid>
        <w:gridCol w:w="2300"/>
        <w:gridCol w:w="1300"/>
        <w:gridCol w:w="1100"/>
        <w:gridCol w:w="4660"/>
      </w:tblGrid>
      <w:tr w:rsidR="00AB2B83" w14:paraId="5C6E6657" w14:textId="77777777">
        <w:trPr>
          <w:tblHeader/>
          <w:cantSplit/>
        </w:trPr>
        <w:tc>
          <w:tcPr>
            <w:tcW w:w="2300" w:type="dxa"/>
            <w:shd w:val="clear" w:color="auto" w:fill="F2F2F2"/>
            <w:vAlign w:val="center"/>
            <w:tcMar>
              <w:top w:w="70" w:type="dxa"/>
              <w:bottom w:w="70" w:type="dxa"/>
              <w:left w:w="100" w:type="dxa"/>
              <w:right w:w="100" w:type="dxa"/>
            </w:tcMar>
          </w:tcPr>
          <w:p w14:paraId="1EB36E58" w14:textId="77777777" w:rsidR="00AB2B83" w:rsidRDefault="00000000">
            <w:pPr>
              <w:spacing w:before="0" w:after="30" w:line="259" w:lineRule="auto"/>
              <w:jc w:val="left"/>
              <w:keepNext/>
            </w:pPr>
            <w:r>
              <w:rPr>
                <w:color w:val="000000"/>
                <w:lang w:val="es-MX"/>
              </w:rPr>
              <w:t xml:space="preserve">Riesgo</w:t>
            </w:r>
          </w:p>
        </w:tc>
        <w:tc>
          <w:tcPr>
            <w:tcW w:w="1300" w:type="dxa"/>
            <w:shd w:val="clear" w:color="auto" w:fill="F2F2F2"/>
            <w:vAlign w:val="center"/>
            <w:tcMar>
              <w:top w:w="70" w:type="dxa"/>
              <w:bottom w:w="70" w:type="dxa"/>
              <w:left w:w="100" w:type="dxa"/>
              <w:right w:w="100" w:type="dxa"/>
            </w:tcMar>
          </w:tcPr>
          <w:p w14:paraId="649CD878" w14:textId="77777777" w:rsidR="00AB2B83" w:rsidRDefault="00000000">
            <w:pPr>
              <w:spacing w:before="0" w:after="30" w:line="259" w:lineRule="auto"/>
              <w:jc w:val="left"/>
              <w:keepNext/>
            </w:pPr>
            <w:r>
              <w:rPr>
                <w:color w:val="000000"/>
                <w:lang w:val="es-MX"/>
              </w:rPr>
              <w:t xml:space="preserve">Prob.</w:t>
            </w:r>
          </w:p>
        </w:tc>
        <w:tc>
          <w:tcPr>
            <w:tcW w:w="1100" w:type="dxa"/>
            <w:shd w:val="clear" w:color="auto" w:fill="F2F2F2"/>
            <w:vAlign w:val="center"/>
            <w:tcMar>
              <w:top w:w="70" w:type="dxa"/>
              <w:bottom w:w="70" w:type="dxa"/>
              <w:left w:w="100" w:type="dxa"/>
              <w:right w:w="100" w:type="dxa"/>
            </w:tcMar>
          </w:tcPr>
          <w:p w14:paraId="70296944" w14:textId="77777777" w:rsidR="00AB2B83" w:rsidRDefault="00000000">
            <w:pPr>
              <w:spacing w:before="0" w:after="30" w:line="259" w:lineRule="auto"/>
              <w:jc w:val="left"/>
              <w:keepNext/>
            </w:pPr>
            <w:r>
              <w:rPr>
                <w:color w:val="000000"/>
                <w:lang w:val="es-MX"/>
              </w:rPr>
              <w:t xml:space="preserve">Impacto</w:t>
            </w:r>
          </w:p>
        </w:tc>
        <w:tc>
          <w:tcPr>
            <w:tcW w:w="4660" w:type="dxa"/>
            <w:shd w:val="clear" w:color="auto" w:fill="F2F2F2"/>
            <w:vAlign w:val="center"/>
            <w:tcMar>
              <w:top w:w="70" w:type="dxa"/>
              <w:bottom w:w="70" w:type="dxa"/>
              <w:left w:w="100" w:type="dxa"/>
              <w:right w:w="100" w:type="dxa"/>
            </w:tcMar>
          </w:tcPr>
          <w:p w14:paraId="7FB84CFC" w14:textId="77777777" w:rsidR="00AB2B83" w:rsidRDefault="00000000">
            <w:pPr>
              <w:spacing w:before="0" w:after="30" w:line="259" w:lineRule="auto"/>
              <w:jc w:val="left"/>
              <w:keepNext/>
            </w:pPr>
            <w:r>
              <w:rPr>
                <w:color w:val="000000"/>
                <w:lang w:val="es-MX"/>
              </w:rPr>
              <w:t xml:space="preserve">Mitigación y responsable</w:t>
            </w:r>
          </w:p>
        </w:tc>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pPr>
            <w:r>
              <w:rPr>
                <w:color w:val="000000"/>
                <w:lang w:val="es-MX"/>
              </w:rPr>
              <w:t xml:space="preserve">Protocolo o equipo MikroTik no disponible</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pPr>
            <w:r>
              <w:rPr>
                <w:color w:val="000000"/>
                <w:lang w:val="es-MX"/>
              </w:rPr>
              <w:t xml:space="preserve">Alta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pPr>
            <w:r>
              <w:rPr>
                <w:color w:val="000000"/>
                <w:lang w:val="es-MX"/>
              </w:rPr>
              <w:t xml:space="preserve">Alto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pPr>
            <w:r>
              <w:rPr>
                <w:color w:val="000000"/>
                <w:lang w:val="es-MX"/>
              </w:rPr>
              <w:t xml:space="preserve">Diego valida laboratorio, versión y acceso en noviembre; no operar sobre la red en servicio.</w:t>
            </w:r>
          </w:p>
        </w:tc>
        <w:trPr>
          <w:cantSplit/>
        </w:trPr>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pPr>
            <w:r>
              <w:rPr>
                <w:color w:val="000000"/>
                <w:lang w:val="es-MX"/>
              </w:rPr>
              <w:t xml:space="preserve">App y API con alcance creciente</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pPr>
            <w:r>
              <w:rPr>
                <w:color w:val="000000"/>
                <w:lang w:val="es-MX"/>
              </w:rPr>
              <w:t xml:space="preserve">Alta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pPr>
            <w:r>
              <w:rPr>
                <w:color w:val="000000"/>
                <w:lang w:val="es-MX"/>
              </w:rPr>
              <w:t xml:space="preserve">Alto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pPr>
            <w:r>
              <w:rPr>
                <w:color w:val="000000"/>
                <w:lang w:val="es-MX"/>
              </w:rPr>
              <w:t xml:space="preserve">Emmanuel congela historias y contrato API; separar identidad del cliente de la del operador.</w:t>
            </w:r>
          </w:p>
        </w:tc>
        <w:trPr>
          <w:cantSplit/>
        </w:trPr>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pPr>
            <w:r>
              <w:rPr>
                <w:color w:val="000000"/>
                <w:lang w:val="es-MX"/>
              </w:rPr>
              <w:t xml:space="preserve">Datos piloto o aprobaciones tardíos</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pPr>
            <w:r>
              <w:rPr>
                <w:color w:val="000000"/>
                <w:lang w:val="es-MX"/>
              </w:rPr>
              <w:t xml:space="preserve">Media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pPr>
            <w:r>
              <w:rPr>
                <w:color w:val="000000"/>
                <w:lang w:val="es-MX"/>
              </w:rPr>
              <w:t xml:space="preserve">Alto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pPr>
            <w:r>
              <w:rPr>
                <w:color w:val="000000"/>
                <w:lang w:val="es-MX"/>
              </w:rPr>
              <w:t xml:space="preserve">Juan Diego acuerda responsable, lote y respuesta en cinco días hábiles; replanificar dependencias.</w:t>
            </w:r>
          </w:p>
        </w:tc>
        <w:trPr>
          <w:cantSplit/>
        </w:trPr>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pPr>
            <w:r>
              <w:rPr>
                <w:color w:val="000000"/>
                <w:lang w:val="es-MX"/>
              </w:rPr>
              <w:t xml:space="preserve">Acceso cruzado o fuga de datos</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pPr>
            <w:r>
              <w:rPr>
                <w:color w:val="000000"/>
                <w:lang w:val="es-MX"/>
              </w:rPr>
              <w:t xml:space="preserve">Media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pPr>
            <w:r>
              <w:rPr>
                <w:color w:val="000000"/>
                <w:lang w:val="es-MX"/>
              </w:rPr>
              <w:t xml:space="preserve">Alto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pPr>
            <w:r>
              <w:rPr>
                <w:color w:val="000000"/>
                <w:lang w:val="es-MX"/>
              </w:rPr>
              <w:t xml:space="preserve">Osvaldo verifica roles, RLS, cliente por recurso, secretos y recuperación antes de liberar.</w:t>
            </w:r>
          </w:p>
        </w:tc>
        <w:trPr>
          <w:cantSplit/>
        </w:trPr>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pPr>
            <w:r>
              <w:rPr>
                <w:color w:val="000000"/>
                <w:lang w:val="es-MX"/>
              </w:rPr>
              <w:t xml:space="preserve">Ausencias o calendario escolar</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pPr>
            <w:r>
              <w:rPr>
                <w:color w:val="000000"/>
                <w:lang w:val="es-MX"/>
              </w:rPr>
              <w:t xml:space="preserve">Media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pPr>
            <w:r>
              <w:rPr>
                <w:color w:val="000000"/>
                <w:lang w:val="es-MX"/>
              </w:rPr>
              <w:t xml:space="preserve">Medio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pPr>
            <w:r>
              <w:rPr>
                <w:color w:val="000000"/>
                <w:lang w:val="es-MX"/>
              </w:rPr>
              <w:t xml:space="preserve">Documentar en Obsidian, revisión cruzada y respaldo de funciones; usar holgura antes de ampliar alcance.</w:t>
            </w:r>
          </w:p>
        </w:tc>
        <w:trPr>
          <w:cantSplit/>
        </w:trPr>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keepNext/>
            </w:pPr>
            <w:r>
              <w:rPr>
                <w:color w:val="000000"/>
                <w:lang w:val="es-MX"/>
              </w:rPr>
              <w:t xml:space="preserve">Cambian precios, divisas o consumos</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keepNext/>
            </w:pPr>
            <w:r>
              <w:rPr>
                <w:color w:val="000000"/>
                <w:lang w:val="es-MX"/>
              </w:rPr>
              <w:t xml:space="preserve">Media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keepNext/>
            </w:pPr>
            <w:r>
              <w:rPr>
                <w:color w:val="000000"/>
                <w:lang w:val="es-MX"/>
              </w:rPr>
              <w:t xml:space="preserve">Medio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keepNext/>
            </w:pPr>
            <w:r>
              <w:rPr>
                <w:color w:val="000000"/>
                <w:lang w:val="es-MX"/>
              </w:rPr>
              <w:t xml:space="preserve">Actualizar cotizaciones y FX antes de comprar; contingencia de 15% y alertas de consumo.</w:t>
            </w:r>
          </w:p>
        </w:tc>
        <w:trPr>
          <w:cantSplit/>
        </w:trPr>
      </w:tr>
      <w:tr w:rsidR="00AB2B83" w14:paraId="3C2650C3" w14:textId="77777777">
        <w:tc>
          <w:tcPr>
            <w:tcW w:w="2300" w:type="dxa"/>
            <w:vAlign w:val="center"/>
            <w:tcMar>
              <w:top w:w="70" w:type="dxa"/>
              <w:bottom w:w="70" w:type="dxa"/>
              <w:left w:w="100" w:type="dxa"/>
              <w:right w:w="100" w:type="dxa"/>
            </w:tcMar>
          </w:tcPr>
          <w:p w14:paraId="12590F1F" w14:textId="77777777" w:rsidR="00AB2B83" w:rsidRDefault="00000000">
            <w:pPr>
              <w:spacing w:before="0" w:after="30" w:line="259" w:lineRule="auto"/>
              <w:jc w:val="left"/>
            </w:pPr>
            <w:r>
              <w:rPr>
                <w:color w:val="000000"/>
                <w:lang w:val="es-MX"/>
              </w:rPr>
              <w:t xml:space="preserve">Revisión de tiendas o aprobación externa</w:t>
            </w:r>
          </w:p>
        </w:tc>
        <w:tc>
          <w:tcPr>
            <w:tcW w:w="1300" w:type="dxa"/>
            <w:vAlign w:val="center"/>
            <w:tcMar>
              <w:top w:w="70" w:type="dxa"/>
              <w:bottom w:w="70" w:type="dxa"/>
              <w:left w:w="100" w:type="dxa"/>
              <w:right w:w="100" w:type="dxa"/>
            </w:tcMar>
          </w:tcPr>
          <w:p w14:paraId="7DA5C0DF" w14:textId="77777777" w:rsidR="00AB2B83" w:rsidRDefault="00000000">
            <w:pPr>
              <w:spacing w:before="0" w:after="30" w:line="259" w:lineRule="auto"/>
              <w:jc w:val="left"/>
            </w:pPr>
            <w:r>
              <w:rPr>
                <w:color w:val="000000"/>
                <w:lang w:val="es-MX"/>
              </w:rPr>
              <w:t xml:space="preserve">Media</w:t>
            </w:r>
          </w:p>
        </w:tc>
        <w:tc>
          <w:tcPr>
            <w:tcW w:w="1100" w:type="dxa"/>
            <w:vAlign w:val="center"/>
            <w:tcMar>
              <w:top w:w="70" w:type="dxa"/>
              <w:bottom w:w="70" w:type="dxa"/>
              <w:left w:w="100" w:type="dxa"/>
              <w:right w:w="100" w:type="dxa"/>
            </w:tcMar>
          </w:tcPr>
          <w:p w14:paraId="5AE51615" w14:textId="77777777" w:rsidR="00AB2B83" w:rsidRDefault="00000000">
            <w:pPr>
              <w:spacing w:before="0" w:after="30" w:line="259" w:lineRule="auto"/>
              <w:jc w:val="left"/>
            </w:pPr>
            <w:r>
              <w:rPr>
                <w:color w:val="000000"/>
                <w:lang w:val="es-MX"/>
              </w:rPr>
              <w:t xml:space="preserve">Alto</w:t>
            </w:r>
          </w:p>
        </w:tc>
        <w:tc>
          <w:tcPr>
            <w:tcW w:w="4660" w:type="dxa"/>
            <w:vAlign w:val="center"/>
            <w:tcMar>
              <w:top w:w="70" w:type="dxa"/>
              <w:bottom w:w="70" w:type="dxa"/>
              <w:left w:w="100" w:type="dxa"/>
              <w:right w:w="100" w:type="dxa"/>
            </w:tcMar>
          </w:tcPr>
          <w:p w14:paraId="218D1333" w14:textId="77777777" w:rsidR="00AB2B83" w:rsidRDefault="00000000">
            <w:pPr>
              <w:spacing w:before="0" w:after="30" w:line="259" w:lineRule="auto"/>
              <w:jc w:val="left"/>
            </w:pPr>
            <w:r>
              <w:rPr>
                <w:color w:val="000000"/>
                <w:lang w:val="es-MX"/>
              </w:rPr>
              <w:t xml:space="preserve">Iniciar cuentas y requisitos con anticipación; distribuir beta autorizada y separar aceptación técnica de aprobación comercial.</w:t>
            </w:r>
          </w:p>
        </w:tc>
        <w:trPr>
          <w:cantSplit/>
        </w:trPr>
      </w:tr>
    </w:tbl>
    <w:p w14:paraId="67974953" w14:textId="77777777" w:rsidR="00AB2B83" w:rsidRPr="003D280D" w:rsidRDefault="00000000">
      <w:pPr>
        <w:rPr>
          <w:lang w:val="es-MX"/>
        </w:rPr>
        <w:keepLines/>
        <w:spacing w:before="120"/>
      </w:pPr>
      <w:r>
        <w:rPr>
          <w:color w:val="000000"/>
          <w:lang w:val="es-MX"/>
        </w:rPr>
        <w:t xml:space="preserve">La valoración alta, media o baja es cualitativa y deberá revisarse semanalmente. La contingencia presupuestal no garantiza resolver un cambio de alcance ni sustituye acceso al hardware o a los servicios externos.</w:t>
      </w:r>
    </w:p>
    <w:p w14:paraId="359A4D45" w14:textId="77777777" w:rsidR="00AB2B83" w:rsidRDefault="00000000">
      <w:pPr>
        <w:pStyle w:val="Ttulo3"/>
        <w:keepLines/>
        <w:keepNext/>
      </w:pPr>
      <w:r>
        <w:rPr>
          <w:color w:val="000000"/>
          <w:lang w:val="es-MX"/>
        </w:rPr>
        <w:t xml:space="preserve">9 Control de cambios y mantenimiento</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Control de cambios:</w:t>
      </w:r>
      <w:r>
        <w:rPr>
          <w:color w:val="000000"/>
          <w:lang w:val="es-MX"/>
        </w:rPr>
        <w:t xml:space="preserve"> registrar solicitud, motivo, horas, costo, impacto en fechas y permisos; Juan Diego coordina la revisión técnica del equipo y la aprobación del responsable de CometaLink antes de ejecutar el cambio.</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Garantía propuesta:</w:t>
      </w:r>
      <w:r>
        <w:rPr>
          <w:color w:val="000000"/>
          <w:lang w:val="es-MX"/>
        </w:rPr>
        <w:t xml:space="preserve"> 30 días naturales desde la aceptación final para defectos reproducibles del alcance acordado. Funciones nuevas, cambios de proveedor y fallas externas se evalúan aparte. La condición se formaliza en el acuerdo comercial.</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Mantenimiento opcional:</w:t>
      </w:r>
      <w:r>
        <w:rPr>
          <w:color w:val="000000"/>
          <w:lang w:val="es-MX"/>
        </w:rPr>
        <w:t xml:space="preserve"> bolsa de 8 h mensuales a $180.00 por hora, $1,440.00 antes de IVA. Con infraestructura base de $1,024.00, el costo combinado de referencia es $2,464.00 al mes antes de impuestos, consumos y renovaciones; no se incluye en el precio de construcción.</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Operación:</w:t>
      </w:r>
      <w:r>
        <w:rPr>
          <w:color w:val="000000"/>
          <w:lang w:val="es-MX"/>
        </w:rPr>
        <w:t xml:space="preserve"> no se ofrece cobertura 24 horas ni un SLA en esta propuesta. El soporte se agenda en horario acordado y cada incidente crítico requiere procedimiento de contención y restauración. RPO de 24 h y RTO de 4 h son objetivos del piloto a medir, no garantías comprobadas.</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Entrega y propiedad:</w:t>
      </w:r>
      <w:r>
        <w:rPr>
          <w:color w:val="000000"/>
          <w:lang w:val="es-MX"/>
        </w:rPr>
        <w:t xml:space="preserve"> repositorio, migraciones, manuales, bitácora, inventario de cuentas y respaldo deben transferirse al responsable de la empresa. La autorización de datos y el cumplimiento contractual y de privacidad se revisan antes de usar información real.</w:t>
      </w:r>
    </w:p>
    <w:p w14:paraId="359A4D45" w14:textId="77777777" w:rsidR="00AB2B83" w:rsidRDefault="00000000">
      <w:pPr>
        <w:pStyle w:val="Ttulo3"/>
        <w:keepLines/>
        <w:keepNext/>
      </w:pPr>
      <w:r>
        <w:rPr>
          <w:color w:val="000000"/>
          <w:lang w:val="es-MX"/>
        </w:rPr>
        <w:t xml:space="preserve">10 Revisión previa al presupuesto</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Definido:</w:t>
      </w:r>
      <w:r>
        <w:rPr>
          <w:color w:val="000000"/>
          <w:lang w:val="es-MX"/>
        </w:rPr>
        <w:t xml:space="preserve"> alcance de MVP y entrega integral, exclusiones y diferencia entre costo académico y precio comercial.</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Calculado:</w:t>
      </w:r>
      <w:r>
        <w:rPr>
          <w:color w:val="000000"/>
          <w:lang w:val="es-MX"/>
        </w:rPr>
        <w:t xml:space="preserve"> horas PERT, costos por rol, servicios, contingencia, utilidad e IVA del escenario; sumas verificadas de forma automática.</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Incluido:</w:t>
      </w:r>
      <w:r>
        <w:rPr>
          <w:color w:val="000000"/>
          <w:lang w:val="es-MX"/>
        </w:rPr>
        <w:t xml:space="preserve"> análisis, diseño, pruebas, coordinación, capacitación, mantenimiento opcional y recursos recurrentes.</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Propuesto:</w:t>
      </w:r>
      <w:r>
        <w:rPr>
          <w:color w:val="000000"/>
          <w:lang w:val="es-MX"/>
        </w:rPr>
        <w:t xml:space="preserve"> hitos y calendario de febrero y marzo de 2027, sujetos a acuerdos del equipo y del ISP.</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Pendiente:</w:t>
      </w:r>
      <w:r>
        <w:rPr>
          <w:color w:val="000000"/>
          <w:lang w:val="es-MX"/>
        </w:rPr>
        <w:t xml:space="preserve"> validación del hardware, dispositivos, cuentas de tiendas, datos del piloto, disponibilidad semanal y precios finales.</w:t>
      </w:r>
    </w:p>
    <w:p w14:paraId="0FFBEFFC" w14:textId="77777777" w:rsidR="00AB2B83" w:rsidRPr="003D280D" w:rsidRDefault="00000000">
      <w:pPr>
        <w:pStyle w:val="Prrafodelista"/>
        <w:numPr>
          <w:ilvl w:val="0"/>
          <w:numId w:val="2"/>
        </w:numPr>
        <w:rPr>
          <w:lang w:val="es-MX"/>
        </w:rPr>
        <w:keepLines/>
      </w:pPr>
      <w:r>
        <w:rPr>
          <w:b/>
          <w:color w:val="000000"/>
          <w:lang w:val="es-MX"/>
        </w:rPr>
        <w:t xml:space="preserve">Pendiente:</w:t>
      </w:r>
      <w:r>
        <w:rPr>
          <w:color w:val="000000"/>
          <w:lang w:val="es-MX"/>
        </w:rPr>
        <w:t xml:space="preserve"> revisión humana independiente de las cifras y aceptación comercial por CometaLink. No se atribuye una firma ni aprobación que no exista.</w:t>
      </w:r>
    </w:p>
    <w:p w14:paraId="359A4D45" w14:textId="77777777" w:rsidR="00AB2B83" w:rsidRDefault="00000000">
      <w:pPr>
        <w:pStyle w:val="Ttulo3"/>
        <w:keepLines/>
        <w:keepNext/>
      </w:pPr>
      <w:r>
        <w:rPr>
          <w:color w:val="000000"/>
          <w:lang w:val="es-MX"/>
        </w:rPr>
        <w:t xml:space="preserve">Fórmulas de control</w:t>
      </w:r>
    </w:p>
    <w:p w14:paraId="0FFBEFFC" w14:textId="77777777" w:rsidR="00AB2B83" w:rsidRPr="003D280D" w:rsidRDefault="00000000">
      <w:pPr>
        <w:pStyle w:val="Prrafodelista"/>
        <w:numPr>
          <w:ilvl w:val="0"/>
          <w:numId w:val="2"/>
        </w:numPr>
        <w:rPr>
          <w:lang w:val="es-MX"/>
        </w:rPr>
        <w:keepLines/>
      </w:pPr>
      <w:r>
        <w:rPr>
          <w:color w:val="000000"/>
          <w:lang w:val="es-MX"/>
        </w:rPr>
        <w:t xml:space="preserve">Horas estimadas = (O + 4P + Pe) / 6. Mano de obra = suma de horas por rol x su tarifa.</w:t>
      </w:r>
    </w:p>
    <w:p w14:paraId="0FFBEFFC" w14:textId="77777777" w:rsidR="00AB2B83" w:rsidRPr="003D280D" w:rsidRDefault="00000000">
      <w:pPr>
        <w:pStyle w:val="Prrafodelista"/>
        <w:numPr>
          <w:ilvl w:val="0"/>
          <w:numId w:val="2"/>
        </w:numPr>
        <w:rPr>
          <w:lang w:val="es-MX"/>
        </w:rPr>
        <w:keepLines/>
      </w:pPr>
      <w:r>
        <w:rPr>
          <w:color w:val="000000"/>
          <w:lang w:val="es-MX"/>
        </w:rPr>
        <w:t xml:space="preserve">Costo de recursos = mano de obra + costos no laborales. Contingencia = costo de recursos x 15%.</w:t>
      </w:r>
    </w:p>
    <w:p w14:paraId="0FFBEFFC" w14:textId="77777777" w:rsidR="00AB2B83" w:rsidRPr="003D280D" w:rsidRDefault="00000000">
      <w:pPr>
        <w:pStyle w:val="Prrafodelista"/>
        <w:numPr>
          <w:ilvl w:val="0"/>
          <w:numId w:val="2"/>
        </w:numPr>
        <w:rPr>
          <w:lang w:val="es-MX"/>
        </w:rPr>
        <w:keepLines/>
      </w:pPr>
      <w:r>
        <w:rPr>
          <w:color w:val="000000"/>
          <w:lang w:val="es-MX"/>
        </w:rPr>
        <w:t xml:space="preserve">Costo académico = recursos + contingencia. Precio comercial antes de IVA = costo académico / (1 - 20%).</w:t>
      </w:r>
    </w:p>
    <w:p w14:paraId="0FFBEFFC" w14:textId="77777777" w:rsidR="00AB2B83" w:rsidRPr="003D280D" w:rsidRDefault="00000000">
      <w:pPr>
        <w:pStyle w:val="Prrafodelista"/>
        <w:numPr>
          <w:ilvl w:val="0"/>
          <w:numId w:val="2"/>
        </w:numPr>
        <w:rPr>
          <w:lang w:val="es-MX"/>
        </w:rPr>
        <w:keepLines/>
      </w:pPr>
      <w:r>
        <w:rPr>
          <w:color w:val="000000"/>
          <w:lang w:val="es-MX"/>
        </w:rPr>
        <w:t xml:space="preserve">Utilidad = precio antes de IVA - costo académico. IVA del escenario = precio antes de IVA x 16%.</w:t>
      </w:r>
    </w:p>
    <w:p w14:paraId="0FFBEFFC" w14:textId="77777777" w:rsidR="00AB2B83" w:rsidRPr="003D280D" w:rsidRDefault="00000000">
      <w:pPr>
        <w:pStyle w:val="Prrafodelista"/>
        <w:numPr>
          <w:ilvl w:val="0"/>
          <w:numId w:val="2"/>
        </w:numPr>
        <w:rPr>
          <w:lang w:val="es-MX"/>
        </w:rPr>
        <w:keepLines/>
      </w:pPr>
      <w:r>
        <w:rPr>
          <w:color w:val="000000"/>
          <w:lang w:val="es-MX"/>
        </w:rPr>
        <w:t xml:space="preserve">Total comercial = precio antes de IVA + IVA. El último hito absorbe diferencias de redondeo de centavos.</w:t>
      </w:r>
    </w:p>
    <w:p w14:paraId="359A4D45" w14:textId="77777777" w:rsidR="00AB2B83" w:rsidRDefault="00000000">
      <w:pPr>
        <w:pStyle w:val="Ttulo3"/>
        <w:keepLines/>
        <w:keepNext/>
      </w:pPr>
      <w:r>
        <w:rPr>
          <w:color w:val="000000"/>
          <w:lang w:val="es-MX"/>
        </w:rPr>
        <w:t xml:space="preserve">Fuentes y base de estimación</w:t>
      </w:r>
    </w:p>
    <w:p w14:paraId="67974953" w14:textId="77777777" w:rsidR="00AB2B83" w:rsidRPr="003D280D" w:rsidRDefault="00000000">
      <w:pPr>
        <w:rPr>
          <w:lang w:val="es-MX"/>
        </w:rPr>
        <w:keepLines/>
      </w:pPr>
      <w:r>
        <w:rPr>
          <w:sz w:val="20"/>
          <w:color w:val="000000"/>
          <w:lang w:val="es-MX"/>
        </w:rPr>
        <w:t xml:space="preserve">[I1] ComeCore Estado del modelo implementado al 14/10/2026. Documentación interna 11 Modelo ERP Completo y 13 Cobertura de Acciones.</w:t>
      </w:r>
    </w:p>
    <w:p w14:paraId="67974953" w14:textId="77777777" w:rsidR="00AB2B83" w:rsidRPr="003D280D" w:rsidRDefault="00000000">
      <w:pPr>
        <w:rPr>
          <w:lang w:val="es-MX"/>
        </w:rPr>
        <w:keepLines/>
      </w:pPr>
      <w:r>
        <w:rPr>
          <w:sz w:val="20"/>
          <w:color w:val="000000"/>
          <w:lang w:val="es-MX"/>
        </w:rPr>
        <w:t xml:space="preserve">[I2] ComeCore Informe local de verificación del 14/10/2026. 33 controles de autenticación, 18 HTTP, SQL y restauración. Archivo docs/database-model/verification.json.</w:t>
      </w:r>
    </w:p>
    <w:p w14:paraId="67974953" w14:textId="77777777" w:rsidR="00AB2B83" w:rsidRPr="003D280D" w:rsidRDefault="00000000">
      <w:pPr>
        <w:rPr>
          <w:lang w:val="es-MX"/>
        </w:rPr>
        <w:keepLines/>
      </w:pPr>
      <w:r>
        <w:rPr>
          <w:sz w:val="20"/>
          <w:color w:val="000000"/>
          <w:lang w:val="es-MX"/>
        </w:rPr>
        <w:t xml:space="preserve">[S1] DigitalOcean Basic Droplets. Referencia 4 GiB y 2 vCPU a USD 24 mensuales.</w:t>
      </w:r>
      <w:r>
        <w:rPr>
          <w:color w:val="000000"/>
          <w:lang w:val="es-MX"/>
        </w:rPr>
        <w:t xml:space="preserve"> </w:t>
      </w:r>
      <w:hyperlink r:id="rIdComeCore1">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[S2] DigitalOcean Backups. Respaldo diario a 30% del costo de la VM.</w:t>
      </w:r>
      <w:r>
        <w:rPr>
          <w:color w:val="000000"/>
          <w:lang w:val="es-MX"/>
        </w:rPr>
        <w:t xml:space="preserve"> </w:t>
      </w:r>
      <w:hyperlink r:id="rIdComeCore2">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[S3] DigitalOcean Spaces Pricing. Suscripción base USD 5 por mes.</w:t>
      </w:r>
      <w:r>
        <w:rPr>
          <w:color w:val="000000"/>
          <w:lang w:val="es-MX"/>
        </w:rPr>
        <w:t xml:space="preserve"> </w:t>
      </w:r>
      <w:hyperlink r:id="rIdComeCore3">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[S4] Postmark Pricing. Plan de referencia Basic USD 15 por mes para correo transaccional.</w:t>
      </w:r>
      <w:r>
        <w:rPr>
          <w:color w:val="000000"/>
          <w:lang w:val="es-MX"/>
        </w:rPr>
        <w:t xml:space="preserve"> </w:t>
      </w:r>
      <w:hyperlink r:id="rIdComeCore4">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[S5] Google Play Console. Referencia de alta USD 25 por una sola vez.</w:t>
      </w:r>
      <w:r>
        <w:rPr>
          <w:color w:val="000000"/>
          <w:lang w:val="es-MX"/>
        </w:rPr>
        <w:t xml:space="preserve"> </w:t>
      </w:r>
      <w:hyperlink r:id="rIdComeCore5">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[S6] Apple Developer Program. Referencia de membresía USD 99 por año.</w:t>
      </w:r>
      <w:r>
        <w:rPr>
          <w:color w:val="000000"/>
          <w:lang w:val="es-MX"/>
        </w:rPr>
        <w:t xml:space="preserve"> </w:t>
      </w:r>
      <w:hyperlink r:id="rIdComeCore6">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[S7] Cámara de Diputados Ley del Impuesto al Valor Agregado artículo 1. Tasa general de referencia del escenario 16%.</w:t>
      </w:r>
      <w:r>
        <w:rPr>
          <w:color w:val="000000"/>
          <w:lang w:val="es-MX"/>
        </w:rPr>
        <w:t xml:space="preserve"> </w:t>
      </w:r>
      <w:hyperlink r:id="rIdComeCore7">
        <w:r>
          <w:rPr>
            <w:sz w:val="20"/>
            <w:color w:val="000000"/>
            <w:lang w:val="es-MX"/>
          </w:rPr>
          <w:t xml:space="preserve">Consultar fuente</w:t>
        </w:r>
      </w:hyperlink>
    </w:p>
    <w:p w14:paraId="67974953" w14:textId="77777777" w:rsidR="00AB2B83" w:rsidRPr="003D280D" w:rsidRDefault="00000000">
      <w:pPr>
        <w:rPr>
          <w:lang w:val="es-MX"/>
        </w:rPr>
        <w:keepLines/>
      </w:pPr>
      <w:r>
        <w:rPr>
          <w:sz w:val="20"/>
          <w:color w:val="000000"/>
          <w:lang w:val="es-MX"/>
        </w:rPr>
        <w:t xml:space="preserve">Consulta de fuentes externas: 14 de octubre de 2026. Los costos base omiten excesos, facturación fiscal particular y fluctuaciones de divisa; no implican una contratación ni una elección definitiva de proveedor.</w:t>
      </w:r>
    </w:p>
    <w:sectPr w:rsidR="00AB2B83" w:rsidRPr="003D280D">
      <w:headerReference w:type="first" r:id="rIdComeCoreLogoHeader"/>
      <w:pgSz w:w="12240" w:h="15840"/>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headerComeCoreLogo.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0" w:lineRule="exact"/>
    </w:pPr>
    <w:r>
      <w:drawing>
        <wp:anchor distT="0" distB="0" distL="0" distR="0" simplePos="0" relativeHeight="1" behindDoc="0" locked="0" layoutInCell="1" allowOverlap="0">
          <wp:simplePos x="0" y="0"/>
          <wp:positionH relativeFrom="margin">
            <wp:align>right</wp:align>
          </wp:positionH>
          <wp:positionV relativeFrom="page">
            <wp:posOffset>228600</wp:posOffset>
          </wp:positionV>
          <wp:extent cx="960120" cy="920586"/>
          <wp:effectExtent l="0" t="0" r="0" b="0"/>
          <wp:wrapNone/>
          <wp:docPr id="74001" name="Logo ComeCore" descr="Logo de ComeCore sin fondo con el lema Controla Conecta Crece"/>
          <wp:cNvGraphicFramePr>
            <a:graphicFrameLocks noChangeAspect="1"/>
          </wp:cNvGraphicFramePr>
          <a:graphic>
            <a:graphicData uri="http://schemas.openxmlformats.org/drawingml/2006/picture">
              <pic:pic>
                <pic:nvPicPr>
                  <pic:cNvPr id="0" name="comecore-controla-conecta-crece.png"/>
                  <pic:cNvPicPr/>
                </pic:nvPicPr>
                <pic:blipFill>
                  <a:blip r:embed="rIdComeCoreImage"/>
                  <a:stretch>
                    <a:fillRect/>
                  </a:stretch>
                </pic:blipFill>
                <pic:spPr>
                  <a:xfrm>
                    <a:off x="0" y="0"/>
                    <a:ext cx="960120" cy="92058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90648"/>
    <w:multiLevelType w:val="hybridMultilevel"/>
    <w:tmpl w:val="640ECAC4"/>
    <w:lvl w:ilvl="0" w:tplc="69F2F698">
      <w:start w:val="1"/>
      <w:numFmt w:val="bullet"/>
      <w:lvlText w:val="•"/>
      <w:lvlJc w:val="left"/>
      <w:pPr>
        <w:ind w:left="720" w:hanging="360"/>
      </w:pPr>
    </w:lvl>
    <w:lvl w:ilvl="1" w:tplc="A8FC5E56">
      <w:start w:val="1"/>
      <w:numFmt w:val="bullet"/>
      <w:lvlText w:val="o"/>
      <w:lvlJc w:val="left"/>
      <w:pPr>
        <w:ind w:left="1440" w:hanging="360"/>
      </w:pPr>
    </w:lvl>
    <w:lvl w:ilvl="2" w:tplc="7B70D82C">
      <w:start w:val="1"/>
      <w:numFmt w:val="bullet"/>
      <w:lvlText w:val="▪"/>
      <w:lvlJc w:val="left"/>
      <w:pPr>
        <w:ind w:left="2160" w:hanging="360"/>
      </w:pPr>
    </w:lvl>
    <w:lvl w:ilvl="3" w:tplc="B3AAF9D8">
      <w:start w:val="1"/>
      <w:numFmt w:val="bullet"/>
      <w:lvlText w:val="•"/>
      <w:lvlJc w:val="left"/>
      <w:pPr>
        <w:ind w:left="2880" w:hanging="360"/>
      </w:pPr>
    </w:lvl>
    <w:lvl w:ilvl="4" w:tplc="6360D5B0">
      <w:start w:val="1"/>
      <w:numFmt w:val="bullet"/>
      <w:lvlText w:val="o"/>
      <w:lvlJc w:val="left"/>
      <w:pPr>
        <w:ind w:left="3600" w:hanging="360"/>
      </w:pPr>
    </w:lvl>
    <w:lvl w:ilvl="5" w:tplc="5EEAA456">
      <w:start w:val="1"/>
      <w:numFmt w:val="bullet"/>
      <w:lvlText w:val="▪"/>
      <w:lvlJc w:val="left"/>
      <w:pPr>
        <w:ind w:left="4320" w:hanging="360"/>
      </w:pPr>
    </w:lvl>
    <w:lvl w:ilvl="6" w:tplc="E026B3FE">
      <w:start w:val="1"/>
      <w:numFmt w:val="bullet"/>
      <w:lvlText w:val="•"/>
      <w:lvlJc w:val="left"/>
      <w:pPr>
        <w:ind w:left="5040" w:hanging="360"/>
      </w:pPr>
    </w:lvl>
    <w:lvl w:ilvl="7" w:tplc="CCA0B432">
      <w:start w:val="1"/>
      <w:numFmt w:val="bullet"/>
      <w:lvlText w:val="o"/>
      <w:lvlJc w:val="left"/>
      <w:pPr>
        <w:ind w:left="5760" w:hanging="360"/>
      </w:pPr>
    </w:lvl>
    <w:lvl w:ilvl="8" w:tplc="8C46F5C0">
      <w:start w:val="1"/>
      <w:numFmt w:val="bullet"/>
      <w:lvlText w:val="▪"/>
      <w:lvlJc w:val="left"/>
      <w:pPr>
        <w:ind w:left="6480" w:hanging="360"/>
      </w:pPr>
    </w:lvl>
  </w:abstractNum>
  <w:abstractNum w:abstractNumId="1" w15:restartNumberingAfterBreak="0">
    <w:nsid w:val="5E4A12DD"/>
    <w:multiLevelType w:val="hybridMultilevel"/>
    <w:tmpl w:val="BACEF960"/>
    <w:lvl w:ilvl="0" w:tplc="9954D6A2">
      <w:start w:val="1"/>
      <w:numFmt w:val="decimal"/>
      <w:lvlText w:val="%1."/>
      <w:lvlJc w:val="left"/>
      <w:pPr>
        <w:ind w:left="720" w:hanging="360"/>
      </w:pPr>
    </w:lvl>
    <w:lvl w:ilvl="1" w:tplc="C346DE06">
      <w:start w:val="1"/>
      <w:numFmt w:val="lowerLetter"/>
      <w:lvlText w:val="%2."/>
      <w:lvlJc w:val="left"/>
      <w:pPr>
        <w:ind w:left="1440" w:hanging="360"/>
      </w:pPr>
    </w:lvl>
    <w:lvl w:ilvl="2" w:tplc="0C8A51E8">
      <w:start w:val="1"/>
      <w:numFmt w:val="lowerRoman"/>
      <w:lvlText w:val="%3."/>
      <w:lvlJc w:val="left"/>
      <w:pPr>
        <w:ind w:left="2160" w:hanging="360"/>
      </w:pPr>
    </w:lvl>
    <w:lvl w:ilvl="3" w:tplc="C7AE1A32">
      <w:start w:val="1"/>
      <w:numFmt w:val="decimal"/>
      <w:lvlText w:val="%4."/>
      <w:lvlJc w:val="left"/>
      <w:pPr>
        <w:ind w:left="2880" w:hanging="360"/>
      </w:pPr>
    </w:lvl>
    <w:lvl w:ilvl="4" w:tplc="2E8AB0DC">
      <w:start w:val="1"/>
      <w:numFmt w:val="lowerLetter"/>
      <w:lvlText w:val="%5."/>
      <w:lvlJc w:val="left"/>
      <w:pPr>
        <w:ind w:left="3600" w:hanging="360"/>
      </w:pPr>
    </w:lvl>
    <w:lvl w:ilvl="5" w:tplc="763A1D1A">
      <w:start w:val="1"/>
      <w:numFmt w:val="lowerRoman"/>
      <w:lvlText w:val="%6."/>
      <w:lvlJc w:val="left"/>
      <w:pPr>
        <w:ind w:left="4320" w:hanging="360"/>
      </w:pPr>
    </w:lvl>
    <w:lvl w:ilvl="6" w:tplc="DFD2FA6E">
      <w:start w:val="1"/>
      <w:numFmt w:val="decimal"/>
      <w:lvlText w:val="%7."/>
      <w:lvlJc w:val="left"/>
      <w:pPr>
        <w:ind w:left="5040" w:hanging="360"/>
      </w:pPr>
    </w:lvl>
    <w:lvl w:ilvl="7" w:tplc="E1843BFC">
      <w:start w:val="1"/>
      <w:numFmt w:val="lowerLetter"/>
      <w:lvlText w:val="%8."/>
      <w:lvlJc w:val="left"/>
      <w:pPr>
        <w:ind w:left="5760" w:hanging="360"/>
      </w:pPr>
    </w:lvl>
    <w:lvl w:ilvl="8" w:tplc="84042EB4">
      <w:start w:val="1"/>
      <w:numFmt w:val="lowerRoman"/>
      <w:lvlText w:val="%9."/>
      <w:lvlJc w:val="left"/>
      <w:pPr>
        <w:ind w:left="6480" w:hanging="360"/>
      </w:pPr>
    </w:lvl>
  </w:abstractNum>
  <w:num w:numId="1" w16cid:durableId="814957871">
    <w:abstractNumId w:val="0"/>
  </w:num>
  <w:num w:numId="2" w16cid:durableId="863597234">
    <w:abstractNumId w:val="0"/>
  </w:num>
  <w:num w:numId="3" w16cid:durableId="2130660163">
    <w:abstractNumId w:val="0"/>
  </w:num>
  <w:num w:numId="4" w16cid:durableId="1396472367">
    <w:abstractNumId w:val="0"/>
  </w:num>
  <w:num w:numId="5" w16cid:durableId="1558123526">
    <w:abstractNumId w:val="0"/>
  </w:num>
  <w:num w:numId="6" w16cid:durableId="540410146">
    <w:abstractNumId w:val="0"/>
  </w:num>
  <w:num w:numId="7" w16cid:durableId="866598988">
    <w:abstractNumId w:val="1"/>
    <w:lvlOverride w:ilvl="0">
      <w:startOverride w:val="1"/>
    </w:lvlOverride>
  </w:num>
  <w:num w:numId="8" w16cid:durableId="257834704">
    <w:abstractNumId w:val="0"/>
  </w:num>
  <w:num w:numId="9" w16cid:durableId="1461343576">
    <w:abstractNumId w:val="0"/>
  </w:num>
  <w:num w:numId="10" w16cid:durableId="711000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B2B83"/>
    <w:rsid w:val="003D280D"/>
    <w:rsid w:val="00741174"/>
    <w:rsid w:val="007C1168"/>
    <w:rsid w:val="00AB2B83"/>
    <w:rsid w:val="00D96F79"/>
    <w:rsid w:val="00DF123A"/>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A4D7"/>
  <w15:docId w15:val="{561FD39D-F6CD-429C-9B29-25EC1584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ComeCore1" Type="http://schemas.openxmlformats.org/officeDocument/2006/relationships/hyperlink" Target="https://www.digitalocean.com/pricing/droplets" TargetMode="External"/><Relationship Id="rIdComeCore2" Type="http://schemas.openxmlformats.org/officeDocument/2006/relationships/hyperlink" Target="https://www.digitalocean.com/products/backups" TargetMode="External"/><Relationship Id="rIdComeCore3" Type="http://schemas.openxmlformats.org/officeDocument/2006/relationships/hyperlink" Target="https://docs.digitalocean.com/products/spaces/details/pricing/" TargetMode="External"/><Relationship Id="rIdComeCore4" Type="http://schemas.openxmlformats.org/officeDocument/2006/relationships/hyperlink" Target="https://postmarkapp.com/pricing" TargetMode="External"/><Relationship Id="rIdComeCore5" Type="http://schemas.openxmlformats.org/officeDocument/2006/relationships/hyperlink" Target="https://support.google.com/googleplay/android-developer/answer/6112435?hl=es" TargetMode="External"/><Relationship Id="rIdComeCore6" Type="http://schemas.openxmlformats.org/officeDocument/2006/relationships/hyperlink" Target="https://developer.apple.com/programs/whats-included/" TargetMode="External"/><Relationship Id="rIdComeCore7" Type="http://schemas.openxmlformats.org/officeDocument/2006/relationships/hyperlink" Target="https://www.diputados.gob.mx/LeyesBiblio/pdf/LIVA.pdf" TargetMode="External"/><Relationship Id="rIdComeCoreLogoHeader" Type="http://schemas.openxmlformats.org/officeDocument/2006/relationships/header" Target="headerComeCoreLogo.xml"/></Relationships>
</file>

<file path=word/_rels/headerComeCoreLogo.xml.rels><?xml version='1.0' encoding='UTF-8' standalone='yes'?>
<Relationships xmlns="http://schemas.openxmlformats.org/package/2006/relationships"><Relationship Id="rIdComeCoreImage" Type="http://schemas.openxmlformats.org/officeDocument/2006/relationships/image" Target="media/comecore-logo.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B183C68D2F8341BA7A5B8C3AF3428E" ma:contentTypeVersion="10" ma:contentTypeDescription="Create a new document." ma:contentTypeScope="" ma:versionID="c47b576417cb587f10a29b9c0a57137d">
  <xsd:schema xmlns:xsd="http://www.w3.org/2001/XMLSchema" xmlns:xs="http://www.w3.org/2001/XMLSchema" xmlns:p="http://schemas.microsoft.com/office/2006/metadata/properties" xmlns:ns2="ec1a675d-ecd7-419f-9266-ad0c69af0932" xmlns:ns3="0e4a71c4-7590-43b9-9544-a5b7b90c2845" targetNamespace="http://schemas.microsoft.com/office/2006/metadata/properties" ma:root="true" ma:fieldsID="86f79fce6af07513ccf3d2e1216a3eaf" ns2:_="" ns3:_="">
    <xsd:import namespace="ec1a675d-ecd7-419f-9266-ad0c69af0932"/>
    <xsd:import namespace="0e4a71c4-7590-43b9-9544-a5b7b90c284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a675d-ecd7-419f-9266-ad0c69af093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b0f8b6-b930-42a9-ab79-04e59fde586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4a71c4-7590-43b9-9544-a5b7b90c28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ad10611-9ec1-4713-945f-299881344410}" ma:internalName="TaxCatchAll" ma:showField="CatchAllData" ma:web="0e4a71c4-7590-43b9-9544-a5b7b90c28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1a675d-ecd7-419f-9266-ad0c69af0932">
      <Terms xmlns="http://schemas.microsoft.com/office/infopath/2007/PartnerControls"/>
    </lcf76f155ced4ddcb4097134ff3c332f>
    <ReferenceId xmlns="ec1a675d-ecd7-419f-9266-ad0c69af0932" xsi:nil="true"/>
    <TaxCatchAll xmlns="0e4a71c4-7590-43b9-9544-a5b7b90c2845" xsi:nil="true"/>
  </documentManagement>
</p:properties>
</file>

<file path=customXml/itemProps1.xml><?xml version="1.0" encoding="utf-8"?>
<ds:datastoreItem xmlns:ds="http://schemas.openxmlformats.org/officeDocument/2006/customXml" ds:itemID="{8DB26E0E-A3F1-407E-B817-1A04539DDBE1}"/>
</file>

<file path=customXml/itemProps2.xml><?xml version="1.0" encoding="utf-8"?>
<ds:datastoreItem xmlns:ds="http://schemas.openxmlformats.org/officeDocument/2006/customXml" ds:itemID="{8FD878C8-EC2A-4E28-97EB-B7319E84D638}"/>
</file>

<file path=customXml/itemProps3.xml><?xml version="1.0" encoding="utf-8"?>
<ds:datastoreItem xmlns:ds="http://schemas.openxmlformats.org/officeDocument/2006/customXml" ds:itemID="{6D2813BA-5713-48E7-B17E-434D9F07FC21}"/>
</file>

<file path=docProps/app.xml><?xml version="1.0" encoding="utf-8"?>
<Properties xmlns="http://schemas.openxmlformats.org/officeDocument/2006/extended-properties" xmlns:vt="http://schemas.openxmlformats.org/officeDocument/2006/docPropsVTypes">
  <Template>Normal.dotm</Template>
  <TotalTime>79</TotalTime>
  <Pages>8</Pages>
  <Words>1349</Words>
  <Characters>7420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Plantillas Presupuesto de desarrollo de proyectos y MVP</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Presupuesto de desarrollo de ComeCore</dc:title>
  <dc:description>Claude Docs node/5f813e61-8b5c@1 docx-w6</dc:description>
  <cp:lastModifiedBy>Juan Diego Reyes Carrasco; Emmanuel Hernández Ibarra; Diego Montiel Hernández; Osvaldo Uriel González Maldonado</cp:lastModifiedBy>
  <cp:revision>2</cp:revision>
  <dcterms:created xsi:type="dcterms:W3CDTF">2026-10-13T15:45:00Z</dcterms:created>
  <dcterms:modified xsi:type="dcterms:W3CDTF">2026-10-13T17:04:00Z</dcterms:modified>
  <dc:creator>Juan Diego Reyes Carrasco; Emmanuel Hernández Ibarra; Diego Montiel Hernández; Osvaldo Uriel González Maldonado</dc:creator>
  <dc:subject>ComeCore para el ISP CometaLink</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0x010100A6B183C68D2F8341BA7A5B8C3AF3428E</vt:lpwstr>
  </property>
</Properties>
</file>