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Default Extension="png" ContentType="image/png"/>
  <Override PartName="/word/headerComeCoreLogo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E77C" w14:textId="77777777" w:rsidR="00AB2B83" w:rsidRPr="003D280D" w:rsidRDefault="00000000">
      <w:pPr>
        <w:pStyle w:val="Ttulo"/>
        <w:rPr>
          <w:lang w:val="es-MX"/>
        </w:rPr>
        <w:keepLines/>
        <w:keepNext/>
        <w:spacing w:before="360" w:after="120"/>
      </w:pPr>
      <w:r>
        <w:rPr>
          <w:color w:val="000000"/>
          <w:lang w:val="es-MX"/>
          <w:b/>
          <w:sz w:val="32"/>
        </w:rPr>
        <w:t xml:space="preserve">Producto mínimo viable de ComeCore</w:t>
      </w:r>
    </w:p>
    <w:p w14:paraId="67974953" w14:textId="77777777" w:rsidR="00AB2B83" w:rsidRPr="003D280D" w:rsidRDefault="00000000">
      <w:pPr>
        <w:rPr>
          <w:lang w:val="es-MX"/>
        </w:rPr>
        <w:keepLines/>
      </w:pPr>
      <w:r>
        <w:rPr>
          <w:color w:val="000000"/>
          <w:lang w:val="es-MX"/>
        </w:rPr>
        <w:t xml:space="preserve">Proponemos validar ComeCore para CometaLink con un piloto de administración de clientes, planes y contratos que pueda completar un operador de principio a fin. El MVP permitirá comprobar utilidad y persistencia antes de ampliar servidores y conectar la app móvil para clientes. El lanzamiento propuesto es el 27 de noviembre de 2026; la beta integral se prevé en febrero de 2027 y el cierre en marzo.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1 Resumen del MVP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2900"/>
        <w:gridCol w:w="6460"/>
      </w:tblGrid>
      <w:tr w:rsidR="00AB2B83" w14:paraId="038F7945" w14:textId="77777777">
        <w:trPr>
          <w:tblHeader/>
          <w:cantSplit/>
        </w:trPr>
        <w:tc>
          <w:tcPr>
            <w:tcW w:w="29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DDEF5CE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Campo</w:t>
            </w:r>
          </w:p>
        </w:tc>
        <w:tc>
          <w:tcPr>
            <w:tcW w:w="646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D88C8E2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Contenido</w:t>
            </w:r>
          </w:p>
        </w:tc>
      </w:tr>
      <w:tr w:rsidR="00AB2B83" w14:paraId="1399B1BC" w14:textId="77777777">
        <w:tc>
          <w:tcPr>
            <w:tcW w:w="29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22C0696" w14:textId="653220CD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Nombre del producto</w:t>
            </w:r>
          </w:p>
        </w:tc>
        <w:tc>
          <w:tcPr>
            <w:tcW w:w="64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057D0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ComeCore ERP para el ISP CometaLink</w:t>
            </w:r>
          </w:p>
        </w:tc>
        <w:trPr>
          <w:cantSplit/>
        </w:trPr>
      </w:tr>
      <w:tr w:rsidR="00AB2B83" w14:paraId="1399B1BC" w14:textId="77777777">
        <w:tc>
          <w:tcPr>
            <w:tcW w:w="29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22C0696" w14:textId="653220CD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Propuesta de valor</w:t>
            </w:r>
          </w:p>
        </w:tc>
        <w:tc>
          <w:tcPr>
            <w:tcW w:w="64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057D0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Ayudamos al personal de CometaLink a registrar y consultar clientes y contratos relacionados mediante un ERP con permisos, trazabilidad y persistencia.</w:t>
            </w:r>
          </w:p>
        </w:tc>
        <w:trPr>
          <w:cantSplit/>
        </w:trPr>
      </w:tr>
      <w:tr w:rsidR="00AB2B83" w14:paraId="1399B1BC" w14:textId="77777777">
        <w:tc>
          <w:tcPr>
            <w:tcW w:w="29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22C0696" w14:textId="653220CD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Responsable</w:t>
            </w:r>
          </w:p>
        </w:tc>
        <w:tc>
          <w:tcPr>
            <w:tcW w:w="64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057D0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Juan Diego Reyes Carrasco con el equipo de desarrollo</w:t>
            </w:r>
          </w:p>
        </w:tc>
        <w:trPr>
          <w:cantSplit/>
        </w:trPr>
      </w:tr>
      <w:tr w:rsidR="00AB2B83" w14:paraId="1399B1BC" w14:textId="77777777">
        <w:tc>
          <w:tcPr>
            <w:tcW w:w="29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22C0696" w14:textId="653220CD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Inicio y lanzamiento propuestos</w:t>
            </w:r>
          </w:p>
        </w:tc>
        <w:tc>
          <w:tcPr>
            <w:tcW w:w="64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057D0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19/10/2026 y 27/11/2026</w:t>
            </w:r>
          </w:p>
        </w:tc>
        <w:trPr>
          <w:cantSplit/>
        </w:trPr>
      </w:tr>
      <w:tr w:rsidR="00AB2B83" w14:paraId="1399B1BC" w14:textId="77777777">
        <w:tc>
          <w:tcPr>
            <w:tcW w:w="29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22C0696" w14:textId="653220CD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Entrega integral propuesta</w:t>
            </w:r>
          </w:p>
        </w:tc>
        <w:tc>
          <w:tcPr>
            <w:tcW w:w="64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057D03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Beta 26/02/2027 y cierre 26/03/2027</w:t>
            </w:r>
          </w:p>
        </w:tc>
        <w:trPr>
          <w:cantSplit/>
        </w:trPr>
      </w:tr>
      <w:tr w:rsidR="00AB2B83" w14:paraId="1399B1BC" w14:textId="77777777">
        <w:tc>
          <w:tcPr>
            <w:tcW w:w="29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22C0696" w14:textId="653220CD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Usuarios del piloto</w:t>
            </w:r>
          </w:p>
        </w:tc>
        <w:tc>
          <w:tcPr>
            <w:tcW w:w="64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057D0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Cinco operadores autorizados propuestos; la empresa confirmará la muestra</w:t>
            </w:r>
          </w:p>
        </w:tc>
        <w:trPr>
          <w:cantSplit/>
        </w:trPr>
      </w:tr>
    </w:tbl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Integrantes del proyecto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3700"/>
        <w:gridCol w:w="5660"/>
      </w:tblGrid>
      <w:tr w:rsidR="00AB2B83" w14:paraId="038F7945" w14:textId="77777777">
        <w:trPr>
          <w:tblHeader/>
          <w:cantSplit/>
        </w:trPr>
        <w:tc>
          <w:tcPr>
            <w:tcW w:w="37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DDEF5CE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Integrante</w:t>
            </w:r>
          </w:p>
        </w:tc>
        <w:tc>
          <w:tcPr>
            <w:tcW w:w="566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D88C8E2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Participación propuesta en el MVP</w:t>
            </w:r>
          </w:p>
        </w:tc>
      </w:tr>
      <w:tr w:rsidR="00AB2B83" w14:paraId="1399B1BC" w14:textId="77777777">
        <w:tc>
          <w:tcPr>
            <w:tcW w:w="37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22C0696" w14:textId="653220CD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Juan Diego Reyes Carrasco</w:t>
            </w:r>
          </w:p>
        </w:tc>
        <w:tc>
          <w:tcPr>
            <w:tcW w:w="5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057D0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Coordinación, análisis y despliegue</w:t>
            </w:r>
          </w:p>
        </w:tc>
        <w:trPr>
          <w:cantSplit/>
        </w:trPr>
      </w:tr>
      <w:tr w:rsidR="00AB2B83" w14:paraId="1399B1BC" w14:textId="77777777">
        <w:tc>
          <w:tcPr>
            <w:tcW w:w="37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22C0696" w14:textId="653220CD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Emmanuel Hernández Ibarra</w:t>
            </w:r>
          </w:p>
        </w:tc>
        <w:tc>
          <w:tcPr>
            <w:tcW w:w="5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057D0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Frontend e integraciones</w:t>
            </w:r>
          </w:p>
        </w:tc>
        <w:trPr>
          <w:cantSplit/>
        </w:trPr>
      </w:tr>
      <w:tr w:rsidR="00AB2B83" w14:paraId="1399B1BC" w14:textId="77777777">
        <w:tc>
          <w:tcPr>
            <w:tcW w:w="37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22C0696" w14:textId="653220CD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Diego Montiel Hernández</w:t>
            </w:r>
          </w:p>
        </w:tc>
        <w:tc>
          <w:tcPr>
            <w:tcW w:w="5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057D03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Backend y datos</w:t>
            </w:r>
          </w:p>
        </w:tc>
        <w:trPr>
          <w:cantSplit/>
        </w:trPr>
      </w:tr>
      <w:tr w:rsidR="00AB2B83" w14:paraId="1399B1BC" w14:textId="77777777">
        <w:tc>
          <w:tcPr>
            <w:tcW w:w="37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22C0696" w14:textId="653220CD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Osvaldo Uriel González Maldonado</w:t>
            </w:r>
          </w:p>
        </w:tc>
        <w:tc>
          <w:tcPr>
            <w:tcW w:w="5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057D0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UX, pruebas y apoyo backend</w:t>
            </w:r>
          </w:p>
        </w:tc>
        <w:trPr>
          <w:cantSplit/>
        </w:trPr>
      </w:tr>
    </w:tbl>
    <w:p w14:paraId="67974953" w14:textId="77777777" w:rsidR="00AB2B83" w:rsidRPr="003D280D" w:rsidRDefault="00000000">
      <w:pPr>
        <w:rPr>
          <w:lang w:val="es-MX"/>
        </w:rPr>
        <w:keepLines/>
        <w:spacing w:before="120"/>
      </w:pPr>
      <w:r>
        <w:rPr>
          <w:color w:val="000000"/>
          <w:lang w:val="es-MX"/>
        </w:rPr>
        <w:t xml:space="preserve">La estimación del MVP es de 384 horas-persona, 96 por integrante, distribuidas en seis semanas. Los responsables y las fechas se presentan como propuesta de trabajo para su aceptación académica y comercial.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2 Problema y cliente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Cliente objetivo:</w:t>
      </w:r>
      <w:r>
        <w:rPr>
          <w:color w:val="000000"/>
          <w:lang w:val="es-MX"/>
        </w:rPr>
        <w:t xml:space="preserve"> CometaLink como empresa ISP. El primer usuario es su personal autorizado de atención, administración y soporte que registra y consulta servicios. Los abonados que usarán la app móvil pertenecen a una etapa posterior y no reciben acceso administrativo al ERP.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Problema principal:</w:t>
      </w:r>
      <w:r>
        <w:rPr>
          <w:color w:val="000000"/>
          <w:lang w:val="es-MX"/>
        </w:rPr>
        <w:t xml:space="preserve"> el proyecto tiene pantallas y relaciones de datos, pero crear una tabla o mostrar una vista demo no confirma un proceso operativo completo. Se debe consolidar la relación cliente, plan y contrato y evitar cambios que se pierdan o mezclen información de usuarios distintos.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Alternativas actuales por investigar:</w:t>
      </w:r>
      <w:r>
        <w:rPr>
          <w:color w:val="000000"/>
          <w:lang w:val="es-MX"/>
        </w:rPr>
        <w:t xml:space="preserve"> registrar datos en archivos, mensajería, sistemas existentes del ISP o consultas entre personas. No se afirma que CometaLink use una alternativa concreta; las entrevistas verificarán el proceso real, frecuencia de errores y tiempos.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Ventaja a validar:</w:t>
      </w:r>
      <w:r>
        <w:rPr>
          <w:color w:val="000000"/>
          <w:lang w:val="es-MX"/>
        </w:rPr>
        <w:t xml:space="preserve"> obtener el expediente y el contrato relacionado desde un solo recorrido, con recarga persistente y permisos por operador. El objetivo propuesto es reducir al menos 30% la mediana del tiempo del proceso, comparada con una línea base medida antes del piloto.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Evidencia técnica disponible:</w:t>
      </w:r>
      <w:r>
        <w:rPr>
          <w:color w:val="000000"/>
          <w:lang w:val="es-MX"/>
        </w:rPr>
        <w:t xml:space="preserve"> Next.js/React/MUI y NestJS/Fastify están separados; PostgreSQL tiene 67 tablas y 217 FK; acceso, MFA y aislamiento cuentan con pruebas locales. Clientes y Contratos aún usan snapshot cifrado y varias pantallas permanecen demo. Falta comprobar valor de negocio con usuarios de CometaLink. [I1, I2]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Investigación prevista:</w:t>
      </w:r>
      <w:r>
        <w:rPr>
          <w:color w:val="000000"/>
          <w:lang w:val="es-MX"/>
        </w:rPr>
        <w:t xml:space="preserve"> cinco entrevistas a operadores y cinco a clientes del ISP sobre consulta de servicio y atención, más una sesión con el responsable de la empresa. Registrar hallazgos anonimizados y autorización para el piloto; todavía no se reportan entrevistas ni ventas realizadas.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3 Hipótesis a validar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650"/>
        <w:gridCol w:w="2500"/>
        <w:gridCol w:w="3100"/>
        <w:gridCol w:w="3110"/>
      </w:tblGrid>
      <w:tr w:rsidR="00AB2B83" w14:paraId="56ED414E" w14:textId="77777777">
        <w:trPr>
          <w:tblHeader/>
          <w:cantSplit/>
        </w:trPr>
        <w:tc>
          <w:tcPr>
            <w:tcW w:w="65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DD283C0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ID</w:t>
            </w:r>
          </w:p>
        </w:tc>
        <w:tc>
          <w:tcPr>
            <w:tcW w:w="25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0153564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Hipótesis</w:t>
            </w:r>
          </w:p>
        </w:tc>
        <w:tc>
          <w:tcPr>
            <w:tcW w:w="31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E1298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Comprobación prevista</w:t>
            </w:r>
          </w:p>
        </w:tc>
        <w:tc>
          <w:tcPr>
            <w:tcW w:w="311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90C462F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Criterio de éxito</w:t>
            </w:r>
          </w:p>
        </w:tc>
      </w:tr>
      <w:tr w:rsidR="00AB2B83" w14:paraId="6F223302" w14:textId="77777777">
        <w:tc>
          <w:tcPr>
            <w:tcW w:w="65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6EF2B12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H1</w:t>
            </w:r>
          </w:p>
        </w:tc>
        <w:tc>
          <w:tcPr>
            <w:tcW w:w="2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054344C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El registro y consulta generan fricción operativa</w:t>
            </w:r>
          </w:p>
        </w:tc>
        <w:tc>
          <w:tcPr>
            <w:tcW w:w="3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9670A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Entrevistar a 5 operadores y observar el proceso de referencia</w:t>
            </w:r>
          </w:p>
        </w:tc>
        <w:tc>
          <w:tcPr>
            <w:tcW w:w="311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10B7206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Al menos 4 de 5 describen un problema recurrente y muestran un ejemplo verificable.</w:t>
            </w:r>
          </w:p>
        </w:tc>
        <w:trPr>
          <w:cantSplit/>
        </w:trPr>
      </w:tr>
      <w:tr w:rsidR="00AB2B83" w14:paraId="6F223302" w14:textId="77777777">
        <w:tc>
          <w:tcPr>
            <w:tcW w:w="65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6EF2B12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H2</w:t>
            </w:r>
          </w:p>
        </w:tc>
        <w:tc>
          <w:tcPr>
            <w:tcW w:w="2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054344C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El recorrido de ComeCore es útil y usable</w:t>
            </w:r>
          </w:p>
        </w:tc>
        <w:tc>
          <w:tcPr>
            <w:tcW w:w="3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9670A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5 operadores realizan el mismo caso con el MVP y con el proceso actual</w:t>
            </w:r>
          </w:p>
        </w:tc>
        <w:tc>
          <w:tcPr>
            <w:tcW w:w="311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10B7206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Al menos 4 de 5 completan sin ayuda; tiempo mediano al menos 30% menor que la línea base.</w:t>
            </w:r>
          </w:p>
        </w:tc>
        <w:trPr>
          <w:cantSplit/>
        </w:trPr>
      </w:tr>
      <w:tr w:rsidR="00AB2B83" w14:paraId="6F223302" w14:textId="77777777">
        <w:tc>
          <w:tcPr>
            <w:tcW w:w="65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6EF2B12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H3</w:t>
            </w:r>
          </w:p>
        </w:tc>
        <w:tc>
          <w:tcPr>
            <w:tcW w:w="2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054344C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CometaLink acepta invertir en continuar</w:t>
            </w:r>
          </w:p>
        </w:tc>
        <w:tc>
          <w:tcPr>
            <w:tcW w:w="3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9670A85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Demostración al responsable y revisión del presupuesto independiente</w:t>
            </w:r>
          </w:p>
        </w:tc>
        <w:tc>
          <w:tcPr>
            <w:tcW w:w="311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10B7206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Acta de validación y rango de inversión aceptable por escrito; sin contar una intención como un pago.</w:t>
            </w:r>
          </w:p>
        </w:tc>
        <w:trPr>
          <w:cantSplit/>
        </w:trPr>
      </w:tr>
      <w:tr w:rsidR="00AB2B83" w14:paraId="6F223302" w14:textId="77777777">
        <w:tc>
          <w:tcPr>
            <w:tcW w:w="65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6EF2B12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H4</w:t>
            </w:r>
          </w:p>
        </w:tc>
        <w:tc>
          <w:tcPr>
            <w:tcW w:w="2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054344C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La app de clientes merece una segunda etapa</w:t>
            </w:r>
          </w:p>
        </w:tc>
        <w:tc>
          <w:tcPr>
            <w:tcW w:w="3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9670A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5 clientes revisan las necesidades de consulta de servicio y tickets</w:t>
            </w:r>
          </w:p>
        </w:tc>
        <w:tc>
          <w:tcPr>
            <w:tcW w:w="311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10B7206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Al menos 4 de 5 identifican una tarea útil; priorizarla antes de diseñar la app.</w:t>
            </w:r>
          </w:p>
        </w:tc>
        <w:trPr>
          <w:cantSplit/>
        </w:trPr>
      </w:tr>
    </w:tbl>
    <w:p w14:paraId="67974953" w14:textId="77777777" w:rsidR="00AB2B83" w:rsidRPr="003D280D" w:rsidRDefault="00000000">
      <w:pPr>
        <w:rPr>
          <w:lang w:val="es-MX"/>
        </w:rPr>
        <w:keepLines/>
        <w:spacing w:before="120"/>
      </w:pPr>
      <w:r>
        <w:rPr>
          <w:color w:val="000000"/>
          <w:lang w:val="es-MX"/>
        </w:rPr>
        <w:t xml:space="preserve">Las metas se fijan antes de las sesiones y aún no son resultados. Los cinco operadores propuestos no deben sustituirse por los cuatro integrantes del equipo. Si la empresa dispone de una muestra menor, se acordará el denominador y se reportará sin extrapolar al total de abonados.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4 Priorización de funcionalidades</w:t>
      </w:r>
    </w:p>
    <w:p w14:paraId="67974953" w14:textId="77777777" w:rsidR="00AB2B83" w:rsidRPr="003D280D" w:rsidRDefault="00000000">
      <w:pPr>
        <w:rPr>
          <w:lang w:val="es-MX"/>
        </w:rPr>
        <w:keepLines/>
      </w:pPr>
      <w:r>
        <w:rPr>
          <w:color w:val="000000"/>
          <w:lang w:val="es-MX"/>
        </w:rPr>
        <w:t xml:space="preserve">MoSCoW clasifica las funciones en Must imprescindibles, Should recomendables, Could opcionales y Won't fuera del MVP. Solo los Must forman la entrega del 27/11/2026; las demás funciones existentes se conservan y se planifican por fases.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4100"/>
        <w:gridCol w:w="1315"/>
        <w:gridCol w:w="1315"/>
        <w:gridCol w:w="1315"/>
        <w:gridCol w:w="1315"/>
      </w:tblGrid>
      <w:tr w:rsidR="00AB2B83" w14:paraId="2E44A35D" w14:textId="77777777">
        <w:trPr>
          <w:tblHeader/>
          <w:cantSplit/>
        </w:trPr>
        <w:tc>
          <w:tcPr>
            <w:tcW w:w="41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4EED3C8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Funcionalidad</w:t>
            </w:r>
          </w:p>
        </w:tc>
        <w:tc>
          <w:tcPr>
            <w:tcW w:w="1315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93F6258" w14:textId="77777777" w:rsidR="00AB2B83" w:rsidRDefault="00000000">
            <w:pPr>
              <w:spacing w:before="0" w:after="30" w:line="259" w:lineRule="auto"/>
              <w:jc w:val="center"/>
              <w:keepNext/>
            </w:pPr>
            <w:r>
              <w:rPr>
                <w:color w:val="000000"/>
                <w:lang w:val="es-MX"/>
              </w:rPr>
              <w:t xml:space="preserve">Must</w:t>
            </w:r>
          </w:p>
        </w:tc>
        <w:tc>
          <w:tcPr>
            <w:tcW w:w="1315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FAC96C4" w14:textId="77777777" w:rsidR="00AB2B83" w:rsidRDefault="00000000">
            <w:pPr>
              <w:spacing w:before="0" w:after="30" w:line="259" w:lineRule="auto"/>
              <w:jc w:val="center"/>
              <w:keepNext/>
            </w:pPr>
            <w:r>
              <w:rPr>
                <w:color w:val="000000"/>
                <w:lang w:val="es-MX"/>
              </w:rPr>
              <w:t xml:space="preserve">Should</w:t>
            </w:r>
          </w:p>
        </w:tc>
        <w:tc>
          <w:tcPr>
            <w:tcW w:w="1315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B20E460" w14:textId="77777777" w:rsidR="00AB2B83" w:rsidRDefault="00000000">
            <w:pPr>
              <w:spacing w:before="0" w:after="30" w:line="259" w:lineRule="auto"/>
              <w:jc w:val="center"/>
              <w:keepNext/>
            </w:pPr>
            <w:r>
              <w:rPr>
                <w:color w:val="000000"/>
                <w:lang w:val="es-MX"/>
              </w:rPr>
              <w:t xml:space="preserve">Could</w:t>
            </w:r>
          </w:p>
        </w:tc>
        <w:tc>
          <w:tcPr>
            <w:tcW w:w="1315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7E6046D" w14:textId="77777777" w:rsidR="00AB2B83" w:rsidRDefault="00000000">
            <w:pPr>
              <w:spacing w:before="0" w:after="30" w:line="259" w:lineRule="auto"/>
              <w:jc w:val="center"/>
              <w:keepNext/>
            </w:pPr>
            <w:r>
              <w:rPr>
                <w:color w:val="000000"/>
                <w:lang w:val="es-MX"/>
              </w:rPr>
              <w:t xml:space="preserve">Won't</w:t>
            </w:r>
          </w:p>
        </w:tc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Acceso de operadores con MFA, permisos y recuperación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Cliente con contactos y domicilio persistentes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Catálogo básico de planes persistente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Contrato vinculado a cliente y plan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Buscar, consultar y conservar cambios tras recargar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Auditoría, respaldo, restauración y piloto seguro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Facturación administrativa y recibos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Inventario y vínculos administrativos de nodos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Integración del CMC con su modelo relacional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Indicadores y exportaciones adicionales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Servidores conectados y telemetría real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App móvil para clientes y su API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  <w:keepNext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  <w:keepNext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  <w:keepNext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  <w:keepNext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rPr>
          <w:cantSplit/>
        </w:trPr>
      </w:tr>
      <w:tr w:rsidR="00AB2B83" w14:paraId="236D3E08" w14:textId="77777777">
        <w:tc>
          <w:tcPr>
            <w:tcW w:w="4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A3BF17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CFDI, pasarelas, cortes automáticos y multivendedor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8AC25ED" w14:textId="77777777" w:rsidR="00AB2B83" w:rsidRDefault="00000000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F379C96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37EF5C5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-</w:t>
            </w:r>
          </w:p>
        </w:tc>
        <w:tc>
          <w:tcPr>
            <w:tcW w:w="1315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8A740C9" w14:textId="77777777" w:rsidR="00AB2B83" w:rsidRDefault="00AB2B83">
            <w:pPr>
              <w:spacing w:before="0" w:after="30" w:line="259" w:lineRule="auto"/>
              <w:jc w:val="center"/>
            </w:pPr>
            <w:r>
              <w:rPr>
                <w:color w:val="000000"/>
                <w:lang w:val="es-MX"/>
              </w:rPr>
              <w:t xml:space="preserve">X</w:t>
            </w:r>
          </w:p>
        </w:tc>
        <w:trPr>
          <w:cantSplit/>
        </w:trPr>
      </w:tr>
    </w:tbl>
    <w:p w14:paraId="67974953" w14:textId="77777777" w:rsidR="00AB2B83" w:rsidRPr="003D280D" w:rsidRDefault="00000000">
      <w:pPr>
        <w:rPr>
          <w:lang w:val="es-MX"/>
        </w:rPr>
        <w:keepLines/>
        <w:spacing w:before="120"/>
      </w:pPr>
      <w:r>
        <w:rPr>
          <w:color w:val="000000"/>
          <w:lang w:val="es-MX"/>
        </w:rPr>
        <w:t xml:space="preserve">Servidor real y app están fuera del primer MVP por su dependencia de hardware, contratos API e identidad de clientes; sí están en el presupuesto y la ruta integral. CFDI, pasarelas y automatización de cortes quedan fuera también de la propuesta integral base.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Condiciones para aceptar los Must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Datos:</w:t>
      </w:r>
      <w:r>
        <w:rPr>
          <w:color w:val="000000"/>
          <w:lang w:val="es-MX"/>
        </w:rPr>
        <w:t xml:space="preserve"> guardar cliente, plan y contrato mediante API y transacción; la organización y el operador se derivan de sesión. El piloto migra hasta 50 clientes y 50 contratos autorizados con conteos, relaciones y reversión comprobados.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Persistencia:</w:t>
      </w:r>
      <w:r>
        <w:rPr>
          <w:color w:val="000000"/>
          <w:lang w:val="es-MX"/>
        </w:rPr>
        <w:t xml:space="preserve"> volver a abrir el expediente después de recargar y de reiniciar servicios debe conservar datos y versión; una actualización obsoleta debe rechazarse sin perder los cambios de otra sesión.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Permisos:</w:t>
      </w:r>
      <w:r>
        <w:rPr>
          <w:color w:val="000000"/>
          <w:lang w:val="es-MX"/>
        </w:rPr>
        <w:t xml:space="preserve"> probar acceso legítimo, MFA incompleto, sesión vencida, rol sin permiso y UUID de otra organización; no exponer secretos ni datos ajenos al modificar parámetros.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Entrega operable:</w:t>
      </w:r>
      <w:r>
        <w:rPr>
          <w:color w:val="000000"/>
          <w:lang w:val="es-MX"/>
        </w:rPr>
        <w:t xml:space="preserve"> disponer de HTTPS y SMTP del piloto, respaldo cifrado fuera del host, restauración de prueba y manual. Un aviso de éxito de la UI no sustituye la lectura posterior en PostgreSQL.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5 Recorrido principal del usuario</w:t>
      </w:r>
    </w:p>
    <w:p w14:paraId="00DDF878" w14:textId="77777777" w:rsidR="00AB2B83" w:rsidRDefault="00000000">
      <w:pPr>
        <w:pStyle w:val="Prrafodelista"/>
        <w:numPr>
          <w:ilvl w:val="0"/>
          <w:numId w:val="7"/>
        </w:numPr>
        <w:keepLines/>
      </w:pPr>
      <w:r>
        <w:rPr>
          <w:color w:val="000000"/>
          <w:lang w:val="es-MX"/>
        </w:rPr>
        <w:t xml:space="preserve">El operador llega al acceso del ERP mediante la dirección autorizada del piloto.</w:t>
      </w:r>
    </w:p>
    <w:p w14:paraId="00DDF878" w14:textId="77777777" w:rsidR="00AB2B83" w:rsidRDefault="00000000">
      <w:pPr>
        <w:pStyle w:val="Prrafodelista"/>
        <w:numPr>
          <w:ilvl w:val="0"/>
          <w:numId w:val="7"/>
        </w:numPr>
        <w:keepLines/>
      </w:pPr>
      <w:r>
        <w:rPr>
          <w:color w:val="000000"/>
          <w:lang w:val="es-MX"/>
        </w:rPr>
        <w:t xml:space="preserve">Inicia sesión con su cuenta provisionada y completa MFA. La inscripción pública de administradores permanece deshabilitada.</w:t>
      </w:r>
    </w:p>
    <w:p w14:paraId="00DDF878" w14:textId="77777777" w:rsidR="00AB2B83" w:rsidRDefault="00000000">
      <w:pPr>
        <w:pStyle w:val="Prrafodelista"/>
        <w:numPr>
          <w:ilvl w:val="0"/>
          <w:numId w:val="7"/>
        </w:numPr>
        <w:keepLines/>
      </w:pPr>
      <w:r>
        <w:rPr>
          <w:color w:val="000000"/>
          <w:lang w:val="es-MX"/>
        </w:rPr>
        <w:t xml:space="preserve">Busca al cliente para evitar duplicados y, si corresponde, registra los datos mínimos y contacto.</w:t>
      </w:r>
    </w:p>
    <w:p w14:paraId="00DDF878" w14:textId="77777777" w:rsidR="00AB2B83" w:rsidRDefault="00000000">
      <w:pPr>
        <w:pStyle w:val="Prrafodelista"/>
        <w:numPr>
          <w:ilvl w:val="0"/>
          <w:numId w:val="7"/>
        </w:numPr>
        <w:keepLines/>
      </w:pPr>
      <w:r>
        <w:rPr>
          <w:color w:val="000000"/>
          <w:lang w:val="es-MX"/>
        </w:rPr>
        <w:t xml:space="preserve">Selecciona un plan existente o solicita al administrador el alta de uno; se conserva el identificador del plan.</w:t>
      </w:r>
    </w:p>
    <w:p w14:paraId="3C17D6B9" w14:textId="77777777" w:rsidR="00AB2B83" w:rsidRDefault="00000000">
      <w:pPr>
        <w:pStyle w:val="Prrafodelista"/>
        <w:numPr>
          <w:ilvl w:val="0"/>
          <w:numId w:val="7"/>
        </w:numPr>
        <w:keepLines/>
      </w:pPr>
      <w:r>
        <w:rPr>
          <w:color w:val="000000"/>
          <w:lang w:val="es-MX"/>
        </w:rPr>
        <w:t xml:space="preserve">Crea el contrato asociado al cliente y al plan con sus fechas y estado administrativo. No aprovisiona ni corta un router.</w:t>
      </w:r>
    </w:p>
    <w:p w14:paraId="3C17D6B9" w14:textId="77777777" w:rsidR="00AB2B83" w:rsidRDefault="00000000">
      <w:pPr>
        <w:pStyle w:val="Prrafodelista"/>
        <w:numPr>
          <w:ilvl w:val="0"/>
          <w:numId w:val="7"/>
        </w:numPr>
        <w:keepLines/>
      </w:pPr>
      <w:r>
        <w:rPr>
          <w:color w:val="000000"/>
          <w:lang w:val="es-MX"/>
        </w:rPr>
        <w:t xml:space="preserve">El servidor valida permisos y relaciones, confirma la transacción y registra la auditoría.</w:t>
      </w:r>
    </w:p>
    <w:p w14:paraId="3C17D6B9" w14:textId="77777777" w:rsidR="00AB2B83" w:rsidRDefault="00000000">
      <w:pPr>
        <w:pStyle w:val="Prrafodelista"/>
        <w:numPr>
          <w:ilvl w:val="0"/>
          <w:numId w:val="7"/>
        </w:numPr>
        <w:keepLines/>
      </w:pPr>
      <w:r>
        <w:rPr>
          <w:color w:val="000000"/>
          <w:lang w:val="es-MX"/>
        </w:rPr>
        <w:t xml:space="preserve">El operador consulta el expediente, recarga y verifica que el contrato aparece con los mismos datos.</w:t>
      </w:r>
    </w:p>
    <w:p w14:paraId="3C17D6B9" w14:textId="77777777" w:rsidR="00AB2B83" w:rsidRDefault="00000000">
      <w:pPr>
        <w:pStyle w:val="Prrafodelista"/>
        <w:numPr>
          <w:ilvl w:val="0"/>
          <w:numId w:val="7"/>
        </w:numPr>
        <w:keepLines/>
      </w:pPr>
      <w:r>
        <w:rPr>
          <w:color w:val="000000"/>
          <w:lang w:val="es-MX"/>
        </w:rPr>
        <w:t xml:space="preserve">Puede volver otro día para actualizar o consultar; al cerrar sesión pierde acceso a páginas y APIs protegidas.</w:t>
      </w:r>
    </w:p>
    <w:p w14:paraId="67974953" w14:textId="77777777" w:rsidR="00AB2B83" w:rsidRPr="003D280D" w:rsidRDefault="00000000">
      <w:pPr>
        <w:rPr>
          <w:lang w:val="es-MX"/>
        </w:rPr>
        <w:keepLines/>
      </w:pPr>
      <w:r>
        <w:rPr>
          <w:color w:val="000000"/>
          <w:lang w:val="es-MX"/>
        </w:rPr>
        <w:t xml:space="preserve">La acción clave del experimento es registrar o actualizar un cliente, asociarle un contrato válido y recuperar ese estado tras recargar. Su valor se medirá con operadores; no se exige un pago al abonado para activar el MVP administrativo.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6 Tipo de MVP</w:t>
      </w:r>
    </w:p>
    <w:p w14:paraId="67974953" w14:textId="77777777" w:rsidR="00AB2B83" w:rsidRPr="003D280D" w:rsidRDefault="00000000">
      <w:pPr>
        <w:rPr>
          <w:lang w:val="es-MX"/>
        </w:rPr>
        <w:keepLines/>
      </w:pPr>
      <w:r>
        <w:rPr>
          <w:color w:val="000000"/>
          <w:lang w:val="es-MX"/>
        </w:rPr>
        <w:t xml:space="preserve">Elegimos un producto mínimo con código sobre el ERP existente. Reutilizar el frontend, backend, controles de acceso y esquema PostgreSQL permite validar persistencia real con menos trabajo que iniciar otra plataforma. La selección es una propuesta técnica; la validación del problema y de la inversión continúa pendiente.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2100"/>
        <w:gridCol w:w="4660"/>
        <w:gridCol w:w="2600"/>
      </w:tblGrid>
      <w:tr w:rsidR="00AB2B83" w14:paraId="470B08CC" w14:textId="77777777">
        <w:trPr>
          <w:tblHeader/>
          <w:cantSplit/>
        </w:trPr>
        <w:tc>
          <w:tcPr>
            <w:tcW w:w="21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01F4D5B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Tipo</w:t>
            </w:r>
          </w:p>
        </w:tc>
        <w:tc>
          <w:tcPr>
            <w:tcW w:w="466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BE79943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Aplicación en ComeCore</w:t>
            </w:r>
          </w:p>
        </w:tc>
        <w:tc>
          <w:tcPr>
            <w:tcW w:w="26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EEF8D42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Decisión</w:t>
            </w:r>
          </w:p>
        </w:tc>
      </w:tr>
      <w:tr w:rsidR="00AB2B83" w14:paraId="1E4C1F17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D5D62A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Página de presentación</w:t>
            </w:r>
          </w:p>
        </w:tc>
        <w:tc>
          <w:tcPr>
            <w:tcW w:w="4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9DC99A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No demuestra operación interna ni persistencia</w:t>
            </w:r>
          </w:p>
        </w:tc>
        <w:tc>
          <w:tcPr>
            <w:tcW w:w="2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A4BF03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No usar como MVP principal</w:t>
            </w:r>
          </w:p>
        </w:tc>
        <w:trPr>
          <w:cantSplit/>
        </w:trPr>
      </w:tr>
      <w:tr w:rsidR="00AB2B83" w14:paraId="1E4C1F17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D5D62A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Prototipo navegable</w:t>
            </w:r>
          </w:p>
        </w:tc>
        <w:tc>
          <w:tcPr>
            <w:tcW w:w="4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9DC99A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Útil para revisar tareas antes de conectar APIs</w:t>
            </w:r>
          </w:p>
        </w:tc>
        <w:tc>
          <w:tcPr>
            <w:tcW w:w="2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A4BF03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Apoyo de diseño en semana 2</w:t>
            </w:r>
          </w:p>
        </w:tc>
        <w:trPr>
          <w:cantSplit/>
        </w:trPr>
      </w:tr>
      <w:tr w:rsidR="00AB2B83" w14:paraId="1E4C1F17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D5D62A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Concierge</w:t>
            </w:r>
          </w:p>
        </w:tc>
        <w:tc>
          <w:tcPr>
            <w:tcW w:w="4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9DC99A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Observación asistida del proceso con un operador</w:t>
            </w:r>
          </w:p>
        </w:tc>
        <w:tc>
          <w:tcPr>
            <w:tcW w:w="2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A4BF03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Apoyo para descubrir necesidades</w:t>
            </w:r>
          </w:p>
        </w:tc>
        <w:trPr>
          <w:cantSplit/>
        </w:trPr>
      </w:tr>
      <w:tr w:rsidR="00AB2B83" w14:paraId="1E4C1F17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D5D62A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Mago de Oz</w:t>
            </w:r>
          </w:p>
        </w:tc>
        <w:tc>
          <w:tcPr>
            <w:tcW w:w="4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9DC99A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Simular automatización de red o cobros</w:t>
            </w:r>
          </w:p>
        </w:tc>
        <w:tc>
          <w:tcPr>
            <w:tcW w:w="2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A4BF03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No presentar como capacidad operativa</w:t>
            </w:r>
          </w:p>
        </w:tc>
        <w:trPr>
          <w:cantSplit/>
        </w:trPr>
      </w:tr>
      <w:tr w:rsidR="00AB2B83" w14:paraId="1E4C1F17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D5D62A3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No code</w:t>
            </w:r>
          </w:p>
        </w:tc>
        <w:tc>
          <w:tcPr>
            <w:tcW w:w="4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9DC99A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Exigiría duplicar la arquitectura que ya existe</w:t>
            </w:r>
          </w:p>
        </w:tc>
        <w:tc>
          <w:tcPr>
            <w:tcW w:w="2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A4BF03E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No seleccionado</w:t>
            </w:r>
          </w:p>
        </w:tc>
        <w:trPr>
          <w:cantSplit/>
        </w:trPr>
      </w:tr>
      <w:tr w:rsidR="00AB2B83" w14:paraId="1E4C1F17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D5D62A3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Producto con código</w:t>
            </w:r>
          </w:p>
        </w:tc>
        <w:tc>
          <w:tcPr>
            <w:tcW w:w="4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9DC99A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Recorrido mínimo conectado a PostgreSQL</w:t>
            </w:r>
          </w:p>
        </w:tc>
        <w:tc>
          <w:tcPr>
            <w:tcW w:w="2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A4BF03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MVP seleccionado</w:t>
            </w:r>
          </w:p>
        </w:tc>
        <w:trPr>
          <w:cantSplit/>
        </w:trPr>
      </w:tr>
    </w:tbl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7 Plan de construcción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2100"/>
        <w:gridCol w:w="3600"/>
        <w:gridCol w:w="3660"/>
      </w:tblGrid>
      <w:tr w:rsidR="00AB2B83" w14:paraId="52E88DFE" w14:textId="77777777">
        <w:trPr>
          <w:tblHeader/>
          <w:cantSplit/>
        </w:trPr>
        <w:tc>
          <w:tcPr>
            <w:tcW w:w="21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86070AA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Semana y fecha</w:t>
            </w:r>
          </w:p>
        </w:tc>
        <w:tc>
          <w:tcPr>
            <w:tcW w:w="36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6CF0C83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Actividad</w:t>
            </w:r>
          </w:p>
        </w:tc>
        <w:tc>
          <w:tcPr>
            <w:tcW w:w="366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01FE6DE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Entregable comprobable</w:t>
            </w:r>
          </w:p>
        </w:tc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1 | 19 a 23 oct</w:t>
            </w:r>
          </w:p>
        </w:tc>
        <w:tc>
          <w:tcPr>
            <w:tcW w:w="3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Entrevistas, proceso base, inventario de brechas y datos piloto</w:t>
            </w:r>
          </w:p>
        </w:tc>
        <w:tc>
          <w:tcPr>
            <w:tcW w:w="3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Línea base, hipótesis y alcance con responsable de CometaLink</w:t>
            </w:r>
          </w:p>
        </w:tc>
        <w:trPr>
          <w:cantSplit/>
        </w:trPr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2 | 26 a 30 oct</w:t>
            </w:r>
          </w:p>
        </w:tc>
        <w:tc>
          <w:tcPr>
            <w:tcW w:w="3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Validar recorrido y contratos de API; esquema de migración</w:t>
            </w:r>
          </w:p>
        </w:tc>
        <w:tc>
          <w:tcPr>
            <w:tcW w:w="3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Diseño y criterios de aceptación revisados</w:t>
            </w:r>
          </w:p>
        </w:tc>
        <w:trPr>
          <w:cantSplit/>
        </w:trPr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3 | 2 a 6 nov</w:t>
            </w:r>
          </w:p>
        </w:tc>
        <w:tc>
          <w:tcPr>
            <w:tcW w:w="3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Conectar clientes y planes; migración de ensayo</w:t>
            </w:r>
          </w:p>
        </w:tc>
        <w:tc>
          <w:tcPr>
            <w:tcW w:w="3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Altas y consultas persistentes con permisos</w:t>
            </w:r>
          </w:p>
        </w:tc>
        <w:trPr>
          <w:cantSplit/>
        </w:trPr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4 | 9 a 13 nov</w:t>
            </w:r>
          </w:p>
        </w:tc>
        <w:tc>
          <w:tcPr>
            <w:tcW w:w="3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Conectar contratos, auditoría y manejo de conflictos</w:t>
            </w:r>
          </w:p>
        </w:tc>
        <w:tc>
          <w:tcPr>
            <w:tcW w:w="3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Recorrido completo con datos de prueba</w:t>
            </w:r>
          </w:p>
        </w:tc>
        <w:trPr>
          <w:cantSplit/>
        </w:trPr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5 | 16 a 20 nov</w:t>
            </w:r>
          </w:p>
        </w:tc>
        <w:tc>
          <w:tcPr>
            <w:tcW w:w="3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Pruebas negativas, usabilidad, SMTP, TLS y restauración</w:t>
            </w:r>
          </w:p>
        </w:tc>
        <w:tc>
          <w:tcPr>
            <w:tcW w:w="3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Evidencias y corrección de defectos bloqueantes</w:t>
            </w:r>
          </w:p>
        </w:tc>
        <w:trPr>
          <w:cantSplit/>
        </w:trPr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6 | 23 a 27 nov</w:t>
            </w:r>
          </w:p>
        </w:tc>
        <w:tc>
          <w:tcPr>
            <w:tcW w:w="36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Repetición de tareas, capacitación y piloto controlado</w:t>
            </w:r>
          </w:p>
        </w:tc>
        <w:tc>
          <w:tcPr>
            <w:tcW w:w="36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MVP aceptado o lista explícita de bloqueos</w:t>
            </w:r>
          </w:p>
        </w:tc>
        <w:trPr>
          <w:cantSplit/>
        </w:trPr>
      </w:tr>
    </w:tbl>
    <w:p w14:paraId="67974953" w14:textId="77777777" w:rsidR="00AB2B83" w:rsidRPr="003D280D" w:rsidRDefault="00000000">
      <w:pPr>
        <w:rPr>
          <w:lang w:val="es-MX"/>
        </w:rPr>
        <w:keepLines/>
        <w:spacing w:before="120"/>
      </w:pPr>
      <w:r>
        <w:rPr>
          <w:color w:val="000000"/>
          <w:lang w:val="es-MX"/>
        </w:rPr>
        <w:t xml:space="preserve">La secuencia está condicionada a acceso y datos en semana 1. El MVP se estima en 384 h: 28 análisis, 28 UX, 204 desarrollo e integración, 56 QA, 40 despliegue/capacitación y 28 gestión. Los costes y horas coinciden con el documento de presupuesto.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Ruta posterior hasta la entrega integral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2100"/>
        <w:gridCol w:w="3850"/>
        <w:gridCol w:w="3410"/>
      </w:tblGrid>
      <w:tr w:rsidR="00AB2B83" w14:paraId="52E88DFE" w14:textId="77777777">
        <w:trPr>
          <w:tblHeader/>
          <w:cantSplit/>
        </w:trPr>
        <w:tc>
          <w:tcPr>
            <w:tcW w:w="21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86070AA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Periodo</w:t>
            </w:r>
          </w:p>
        </w:tc>
        <w:tc>
          <w:tcPr>
            <w:tcW w:w="385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6CF0C83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Alcance posterior</w:t>
            </w:r>
          </w:p>
        </w:tc>
        <w:tc>
          <w:tcPr>
            <w:tcW w:w="341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01FE6DE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Puerta de salida</w:t>
            </w:r>
          </w:p>
        </w:tc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30 nov a 18 dic 2026</w:t>
            </w:r>
          </w:p>
        </w:tc>
        <w:tc>
          <w:tcPr>
            <w:tcW w:w="385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Inventario, facturación administrativa y catálogo de red</w:t>
            </w:r>
          </w:p>
        </w:tc>
        <w:tc>
          <w:tcPr>
            <w:tcW w:w="341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Datos relacionados y casos del operador revisados</w:t>
            </w:r>
          </w:p>
        </w:tc>
        <w:trPr>
          <w:cantSplit/>
        </w:trPr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21 dic a 1 ene</w:t>
            </w:r>
          </w:p>
        </w:tc>
        <w:tc>
          <w:tcPr>
            <w:tcW w:w="385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Pausa programada</w:t>
            </w:r>
          </w:p>
        </w:tc>
        <w:tc>
          <w:tcPr>
            <w:tcW w:w="341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Sin actividades de construcción comprometidas</w:t>
            </w:r>
          </w:p>
        </w:tc>
        <w:trPr>
          <w:cantSplit/>
        </w:trPr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4 a 29 ene 2027</w:t>
            </w:r>
          </w:p>
        </w:tc>
        <w:tc>
          <w:tcPr>
            <w:tcW w:w="385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MikroTik de laboratorio y desarrollo de app</w:t>
            </w:r>
          </w:p>
        </w:tc>
        <w:tc>
          <w:tcPr>
            <w:tcW w:w="341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Telemetría asociada a contratos y app con identidad propia</w:t>
            </w:r>
          </w:p>
        </w:tc>
        <w:trPr>
          <w:cantSplit/>
        </w:trPr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1 a 26 feb 2027</w:t>
            </w:r>
          </w:p>
        </w:tc>
        <w:tc>
          <w:tcPr>
            <w:tcW w:w="385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Conexión de app, ERP, CMC y pruebas cruzadas</w:t>
            </w:r>
          </w:p>
        </w:tc>
        <w:tc>
          <w:tcPr>
            <w:tcW w:w="341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Beta integral propuesta al 26/02/2027</w:t>
            </w:r>
          </w:p>
        </w:tc>
        <w:trPr>
          <w:cantSplit/>
        </w:trPr>
      </w:tr>
      <w:tr w:rsidR="00AB2B83" w14:paraId="6A190491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E9C1DB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1 a 26 mar 2027</w:t>
            </w:r>
          </w:p>
        </w:tc>
        <w:tc>
          <w:tcPr>
            <w:tcW w:w="385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62CEA86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Estabilización, aceptación, despliegue y transferencia</w:t>
            </w:r>
          </w:p>
        </w:tc>
        <w:tc>
          <w:tcPr>
            <w:tcW w:w="341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42DBF85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Cierre del alcance al 26/03/2027</w:t>
            </w:r>
          </w:p>
        </w:tc>
        <w:trPr>
          <w:cantSplit/>
        </w:trPr>
      </w:tr>
    </w:tbl>
    <w:p w14:paraId="67974953" w14:textId="77777777" w:rsidR="00AB2B83" w:rsidRPr="003D280D" w:rsidRDefault="00000000">
      <w:pPr>
        <w:rPr>
          <w:lang w:val="es-MX"/>
        </w:rPr>
        <w:keepLines/>
        <w:spacing w:before="120"/>
      </w:pPr>
      <w:r>
        <w:rPr>
          <w:color w:val="000000"/>
          <w:lang w:val="es-MX"/>
        </w:rPr>
        <w:t xml:space="preserve">La app móvil se plantea para clientes del ISP: consulta de plan, contrato, estado administrativo y tickets, con una identidad separada de la cuenta del operador. El servidor debe comprobar cliente y recurso en cada petición. Datos de consumo se muestran solo cuando exista telemetría real válida; no se completan con valores ficticios. Android/iOS y sus cuentas de tiendas son supuestos de estimación a confirmar.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8 Presupuesto del MVP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6500"/>
        <w:gridCol w:w="2860"/>
      </w:tblGrid>
      <w:tr w:rsidR="00AB2B83" w14:paraId="640F11C1" w14:textId="77777777">
        <w:trPr>
          <w:tblHeader/>
          <w:cantSplit/>
        </w:trPr>
        <w:tc>
          <w:tcPr>
            <w:tcW w:w="65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D2B4823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Concepto</w:t>
            </w:r>
          </w:p>
        </w:tc>
        <w:tc>
          <w:tcPr>
            <w:tcW w:w="286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07B44E7" w14:textId="77777777" w:rsidR="00AB2B83" w:rsidRDefault="00000000">
            <w:pPr>
              <w:spacing w:before="0" w:after="30" w:line="259" w:lineRule="auto"/>
              <w:jc w:val="center"/>
              <w:keepNext/>
            </w:pPr>
            <w:r>
              <w:rPr>
                <w:color w:val="000000"/>
                <w:lang w:val="es-MX"/>
              </w:rPr>
              <w:t xml:space="preserve">Costo estimado MXN</w:t>
            </w:r>
          </w:p>
        </w:tc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Análisis y definición del piloto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$4,480.00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Diseño UX del recorrido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$4,200.00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Desarrollo e integración 204 h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$36,720.00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Pruebas QA 56 h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$7,280.00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Despliegue y capacitación 40 h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$7,600.00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Coordinación 28 h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$5,040.00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Hosting, respaldos y correo por 2 meses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$2,048.00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Marketing de captación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$0.00 | Piloto interno sin campaña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Subtotal de recursos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$67,368.00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Contingencia 15%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$10,105.20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b/>
                <w:color w:val="000000"/>
                <w:lang w:val="es-MX"/>
              </w:rPr>
              <w:t xml:space="preserve">Total académico del MVP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</w:pPr>
            <w:r>
              <w:rPr>
                <w:b/>
                <w:color w:val="000000"/>
                <w:lang w:val="es-MX"/>
              </w:rPr>
              <w:t xml:space="preserve">$77,473.20</w:t>
            </w:r>
          </w:p>
        </w:tc>
        <w:trPr>
          <w:cantSplit/>
        </w:trPr>
      </w:tr>
    </w:tbl>
    <w:p w14:paraId="67974953" w14:textId="77777777" w:rsidR="00AB2B83" w:rsidRPr="003D280D" w:rsidRDefault="00000000">
      <w:pPr>
        <w:rPr>
          <w:lang w:val="es-MX"/>
        </w:rPr>
        <w:keepLines/>
        <w:spacing w:before="120"/>
      </w:pPr>
      <w:r>
        <w:rPr>
          <w:color w:val="000000"/>
          <w:lang w:val="es-MX"/>
        </w:rPr>
        <w:t xml:space="preserve">Las tarifas y el tipo de cambio de 20 MXN/USD son supuestos de planeación. El costo valora tiempo del equipo y dos meses de infraestructura; no equivale a desembolsar esa suma en un proyecto académico. El gasto externo base reservado para esta fase es de $2,048.00 MXN antes de impuestos y consumo real.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6500"/>
        <w:gridCol w:w="2860"/>
      </w:tblGrid>
      <w:tr w:rsidR="00AB2B83" w14:paraId="640F11C1" w14:textId="77777777">
        <w:trPr>
          <w:tblHeader/>
          <w:cantSplit/>
        </w:trPr>
        <w:tc>
          <w:tcPr>
            <w:tcW w:w="65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D2B4823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Escenario comercial del mismo MVP</w:t>
            </w:r>
          </w:p>
        </w:tc>
        <w:tc>
          <w:tcPr>
            <w:tcW w:w="286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07B44E7" w14:textId="77777777" w:rsidR="00AB2B83" w:rsidRDefault="00000000">
            <w:pPr>
              <w:spacing w:before="0" w:after="30" w:line="259" w:lineRule="auto"/>
              <w:jc w:val="center"/>
              <w:keepNext/>
            </w:pPr>
            <w:r>
              <w:rPr>
                <w:color w:val="000000"/>
                <w:lang w:val="es-MX"/>
              </w:rPr>
              <w:t xml:space="preserve">Monto MXN</w:t>
            </w:r>
          </w:p>
        </w:tc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Costo con contingencia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$77,473.20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Utilidad a margen de 20% sobre precio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$19,368.30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Precio antes de IVA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$96,841.50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IVA del escenario 16%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  <w:keepNext/>
            </w:pPr>
            <w:r>
              <w:rPr>
                <w:color w:val="000000"/>
                <w:lang w:val="es-MX"/>
              </w:rPr>
              <w:t xml:space="preserve">$15,494.64</w:t>
            </w:r>
          </w:p>
        </w:tc>
        <w:trPr>
          <w:cantSplit/>
        </w:trPr>
      </w:tr>
      <w:tr w:rsidR="00AB2B83" w14:paraId="551DF007" w14:textId="77777777">
        <w:tc>
          <w:tcPr>
            <w:tcW w:w="6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1291007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b/>
                <w:color w:val="000000"/>
                <w:lang w:val="es-MX"/>
              </w:rPr>
              <w:t xml:space="preserve">Total comercial estimado</w:t>
            </w:r>
          </w:p>
        </w:tc>
        <w:tc>
          <w:tcPr>
            <w:tcW w:w="28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F589A23" w14:textId="77777777" w:rsidR="00AB2B83" w:rsidRDefault="00000000">
            <w:pPr>
              <w:spacing w:before="0" w:after="30" w:line="259" w:lineRule="auto"/>
              <w:jc w:val="right"/>
            </w:pPr>
            <w:r>
              <w:rPr>
                <w:b/>
                <w:color w:val="000000"/>
                <w:lang w:val="es-MX"/>
              </w:rPr>
              <w:t xml:space="preserve">$112,336.14</w:t>
            </w:r>
          </w:p>
        </w:tc>
        <w:trPr>
          <w:cantSplit/>
        </w:trPr>
      </w:tr>
    </w:tbl>
    <w:p w14:paraId="67974953" w14:textId="77777777" w:rsidR="00AB2B83" w:rsidRPr="003D280D" w:rsidRDefault="00000000">
      <w:pPr>
        <w:rPr>
          <w:lang w:val="es-MX"/>
        </w:rPr>
        <w:keepLines/>
        <w:spacing w:before="120"/>
      </w:pPr>
      <w:r>
        <w:rPr>
          <w:color w:val="000000"/>
          <w:lang w:val="es-MX"/>
        </w:rPr>
        <w:t xml:space="preserve">El documento Presupuesto de desarrollo de ComeCore detalla WBS, tarifas, fuentes, hitos y condiciones. El MVP ya está incluido en el proyecto integral de 1472 h y $300,085.60 de costo académico, cuyo escenario comercial con IVA es $435,124.12. No deben sumarse ambos totales como proyectos independientes. La tarifa fiscal y la aceptación del precio se validan antes de contratar.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9 Métricas de éxito</w:t>
      </w:r>
    </w:p>
    <w:p w14:paraId="67974953" w14:textId="77777777" w:rsidR="00AB2B83" w:rsidRPr="003D280D" w:rsidRDefault="00000000">
      <w:pPr>
        <w:rPr>
          <w:lang w:val="es-MX"/>
        </w:rPr>
        <w:keepLines/>
      </w:pPr>
      <w:r>
        <w:rPr>
          <w:color w:val="000000"/>
          <w:lang w:val="es-MX"/>
        </w:rPr>
        <w:t xml:space="preserve">Las metas se medirán con eventos mínimos anonimizados y registro de sesión de prueba, sin contraseñas, tokens ni datos sensibles. Se documentarán denominador, fecha, exclusiones y responsable. El equipo analizará la muestra como un piloto del ISP, no como evidencia estadística de todo el mercado.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2100"/>
        <w:gridCol w:w="4000"/>
        <w:gridCol w:w="3260"/>
      </w:tblGrid>
      <w:tr w:rsidR="00AB2B83" w14:paraId="3202DF03" w14:textId="77777777">
        <w:trPr>
          <w:tblHeader/>
          <w:cantSplit/>
        </w:trPr>
        <w:tc>
          <w:tcPr>
            <w:tcW w:w="21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F329AA8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Métrica</w:t>
            </w:r>
          </w:p>
        </w:tc>
        <w:tc>
          <w:tcPr>
            <w:tcW w:w="40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36416FE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Forma de medición</w:t>
            </w:r>
          </w:p>
        </w:tc>
        <w:tc>
          <w:tcPr>
            <w:tcW w:w="326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1D2E0B2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Meta del piloto</w:t>
            </w:r>
          </w:p>
        </w:tc>
      </w:tr>
      <w:tr w:rsidR="00AB2B83" w14:paraId="313C441E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332417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Activación</w:t>
            </w:r>
          </w:p>
        </w:tc>
        <w:tc>
          <w:tcPr>
            <w:tcW w:w="40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A066818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Operadores que completan la acción clave sin ayuda / participantes</w:t>
            </w:r>
          </w:p>
        </w:tc>
        <w:tc>
          <w:tcPr>
            <w:tcW w:w="32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D42FD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Al menos 4 de 5; caso íntegro en máximo 10 minutos</w:t>
            </w:r>
          </w:p>
        </w:tc>
        <w:trPr>
          <w:cantSplit/>
        </w:trPr>
      </w:tr>
      <w:tr w:rsidR="00AB2B83" w14:paraId="313C441E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332417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Retención de tarea</w:t>
            </w:r>
          </w:p>
        </w:tc>
        <w:tc>
          <w:tcPr>
            <w:tcW w:w="40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A066818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Operadores activados que repiten una tarea útil en la semana siguiente / operadores activados</w:t>
            </w:r>
          </w:p>
        </w:tc>
        <w:tc>
          <w:tcPr>
            <w:tcW w:w="32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D42FD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Al menos 80% de los activados; redondear al entero superior y reportar el número de personas</w:t>
            </w:r>
          </w:p>
        </w:tc>
        <w:trPr>
          <w:cantSplit/>
        </w:trPr>
      </w:tr>
      <w:tr w:rsidR="00AB2B83" w14:paraId="313C441E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332417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Eficiencia</w:t>
            </w:r>
          </w:p>
        </w:tc>
        <w:tc>
          <w:tcPr>
            <w:tcW w:w="40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A066818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Mediana del tiempo del mismo caso antes y después</w:t>
            </w:r>
          </w:p>
        </w:tc>
        <w:tc>
          <w:tcPr>
            <w:tcW w:w="32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D42FD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Reducción de al menos 30% respecto a línea base medida</w:t>
            </w:r>
          </w:p>
        </w:tc>
        <w:trPr>
          <w:cantSplit/>
        </w:trPr>
      </w:tr>
      <w:tr w:rsidR="00AB2B83" w14:paraId="313C441E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332417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Fiabilidad del dato</w:t>
            </w:r>
          </w:p>
        </w:tc>
        <w:tc>
          <w:tcPr>
            <w:tcW w:w="40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A066818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Casos que conservan cliente, plan y contrato tras recargar</w:t>
            </w:r>
          </w:p>
        </w:tc>
        <w:tc>
          <w:tcPr>
            <w:tcW w:w="32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D42FD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20 de 20 casos y cero relaciones cruzadas en pruebas negativas</w:t>
            </w:r>
          </w:p>
        </w:tc>
        <w:trPr>
          <w:cantSplit/>
        </w:trPr>
      </w:tr>
      <w:tr w:rsidR="00AB2B83" w14:paraId="313C441E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332417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Satisfacción</w:t>
            </w:r>
          </w:p>
        </w:tc>
        <w:tc>
          <w:tcPr>
            <w:tcW w:w="40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A066818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Respuesta posterior a la tarea en escala de 1 a 5</w:t>
            </w:r>
          </w:p>
        </w:tc>
        <w:tc>
          <w:tcPr>
            <w:tcW w:w="32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D42FD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Al menos 4 de 5 participantes califican 4 o 5</w:t>
            </w:r>
          </w:p>
        </w:tc>
        <w:trPr>
          <w:cantSplit/>
        </w:trPr>
      </w:tr>
      <w:tr w:rsidR="00AB2B83" w14:paraId="313C441E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3324178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Viabilidad de inversión</w:t>
            </w:r>
          </w:p>
        </w:tc>
        <w:tc>
          <w:tcPr>
            <w:tcW w:w="40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A066818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Revisión con responsable de CometaLink</w:t>
            </w:r>
          </w:p>
        </w:tc>
        <w:tc>
          <w:tcPr>
            <w:tcW w:w="32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D42FD8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Acta de validación y rango de inversión aceptado; no equivale a venta</w:t>
            </w:r>
          </w:p>
        </w:tc>
        <w:trPr>
          <w:cantSplit/>
        </w:trPr>
      </w:tr>
      <w:tr w:rsidR="00AB2B83" w14:paraId="313C441E" w14:textId="77777777"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332417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Costo de adquisición</w:t>
            </w:r>
          </w:p>
        </w:tc>
        <w:tc>
          <w:tcPr>
            <w:tcW w:w="40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A066818" w14:textId="77777777" w:rsidR="00AB2B83" w:rsidRPr="003D280D" w:rsidRDefault="00000000">
            <w:pPr>
              <w:rPr>
                <w:lang w:val="es-MX"/>
              </w:r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No corresponde a captación masiva en un piloto interno</w:t>
            </w:r>
          </w:p>
        </w:tc>
        <w:tc>
          <w:tcPr>
            <w:tcW w:w="32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2D42FD8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Gasto publicitario previsto cero; registrar horas de reclutamiento</w:t>
            </w:r>
          </w:p>
        </w:tc>
        <w:trPr>
          <w:cantSplit/>
        </w:trPr>
      </w:tr>
    </w:tbl>
    <w:p w14:paraId="67974953" w14:textId="77777777" w:rsidR="00AB2B83" w:rsidRPr="003D280D" w:rsidRDefault="00000000">
      <w:pPr>
        <w:rPr>
          <w:lang w:val="es-MX"/>
        </w:rPr>
        <w:keepLines/>
        <w:spacing w:before="120"/>
      </w:pPr>
      <w:r>
        <w:rPr>
          <w:color w:val="000000"/>
          <w:lang w:val="es-MX"/>
        </w:rPr>
        <w:t xml:space="preserve">Seguridad es una puerta de salida: deben pasar las pruebas de acceso por rol, MFA, expiración, revocación y datos de otro cliente u organización. Cualquier fuga o defecto crítico impide la liberación aunque las métricas de satisfacción se cumplan.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10 Aprendizaje y decisión</w:t>
      </w:r>
    </w:p>
    <w:p w14:paraId="67974953" w14:textId="77777777" w:rsidR="00AB2B83" w:rsidRPr="003D280D" w:rsidRDefault="00000000">
      <w:pPr>
        <w:rPr>
          <w:lang w:val="es-MX"/>
        </w:rPr>
        <w:keepLines/>
      </w:pPr>
      <w:r>
        <w:rPr>
          <w:color w:val="000000"/>
          <w:lang w:val="es-MX"/>
        </w:rPr>
        <w:t xml:space="preserve">La revisión del MVP se propone para el 27/11/2026. Juan Diego presentará las evidencias al equipo y al responsable designado por CometaLink. Se conservarán actas breves, resultados y acciones en Obsidian.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Perseverar:</w:t>
      </w:r>
      <w:r>
        <w:rPr>
          <w:color w:val="000000"/>
          <w:lang w:val="es-MX"/>
        </w:rPr>
        <w:t xml:space="preserve"> las puertas técnicas pasan, al menos cuatro de cinco operadores completan el recorrido y el responsable valida la utilidad; continuar con las etapas integrales y recalibrar la estimación.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Pivotar:</w:t>
      </w:r>
      <w:r>
        <w:rPr>
          <w:color w:val="000000"/>
          <w:lang w:val="es-MX"/>
        </w:rPr>
        <w:t xml:space="preserve"> el sistema conserva datos y es seguro, pero la tarea prioritaria o la interfaz no aportan el valor esperado; ajustar el alcance sin añadir módulos automáticamente y repetir la prueba con metas definidas.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Pausar o parar:</w:t>
      </w:r>
      <w:r>
        <w:rPr>
          <w:color w:val="000000"/>
          <w:lang w:val="es-MX"/>
        </w:rPr>
        <w:t xml:space="preserve"> hay una fuga, falla grave, ausencia de acceso a infraestructura o falta de evidencia de valor; detener el piloto, contener el riesgo y acordar si se reanuda o se cierra.</w:t>
      </w:r>
    </w:p>
    <w:tbl>
      <w:tblPr>
        <w:tblStyle w:val="Tablaconcuadrcula"/>
        <w:tblW w:w="9360" w:type="dxa"/>
        <w:tblLayout w:type="fixed"/>
        <w:tblLook w:val="0420" w:firstRow="1" w:lastRow="0" w:firstColumn="0" w:lastColumn="0" w:noHBand="0" w:noVBand="1"/>
      </w:tblPr>
      <w:tblGrid>
        <w:gridCol w:w="2500"/>
        <w:gridCol w:w="2500"/>
        <w:gridCol w:w="2100"/>
        <w:gridCol w:w="2260"/>
      </w:tblGrid>
      <w:tr w:rsidR="00AB2B83" w14:paraId="58CB948B" w14:textId="77777777">
        <w:trPr>
          <w:tblHeader/>
          <w:cantSplit/>
        </w:trPr>
        <w:tc>
          <w:tcPr>
            <w:tcW w:w="25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5E44388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Aprendizaje actual</w:t>
            </w:r>
          </w:p>
        </w:tc>
        <w:tc>
          <w:tcPr>
            <w:tcW w:w="25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0FFA02F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Evidencia</w:t>
            </w:r>
          </w:p>
        </w:tc>
        <w:tc>
          <w:tcPr>
            <w:tcW w:w="210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9B0F481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Decisión propuesta</w:t>
            </w:r>
          </w:p>
        </w:tc>
        <w:tc>
          <w:tcPr>
            <w:tcW w:w="2260" w:type="dxa"/>
            <w:shd w:val="clear" w:color="auto" w:fill="F2F2F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74A0D300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Siguiente paso</w:t>
            </w:r>
          </w:p>
        </w:tc>
      </w:tr>
      <w:tr w:rsidR="00AB2B83" w14:paraId="1BD28B2F" w14:textId="77777777">
        <w:tc>
          <w:tcPr>
            <w:tcW w:w="2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50E87EB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La base y el login no completan todos los procesos</w:t>
            </w:r>
          </w:p>
        </w:tc>
        <w:tc>
          <w:tcPr>
            <w:tcW w:w="2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980F9AA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Hay modelo SQL y pruebas locales; varias pantallas son demo</w:t>
            </w:r>
          </w:p>
        </w:tc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3F6F0E9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Validar un flujo persistente pequeño</w:t>
            </w:r>
          </w:p>
        </w:tc>
        <w:tc>
          <w:tcPr>
            <w:tcW w:w="22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384E1A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Conectar APIs de clientes, planes y contratos</w:t>
            </w:r>
          </w:p>
        </w:tc>
        <w:trPr>
          <w:cantSplit/>
        </w:trPr>
      </w:tr>
      <w:tr w:rsidR="00AB2B83" w14:paraId="1BD28B2F" w14:textId="77777777">
        <w:tc>
          <w:tcPr>
            <w:tcW w:w="2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50E87EB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Aún no se conoce la adopción ni la disposición a invertir</w:t>
            </w:r>
          </w:p>
        </w:tc>
        <w:tc>
          <w:tcPr>
            <w:tcW w:w="2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980F9AA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No hay resultados de entrevistas o ventas reportados</w:t>
            </w:r>
          </w:p>
        </w:tc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3F6F0E9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Mantener hipótesis abiertas</w:t>
            </w:r>
          </w:p>
        </w:tc>
        <w:tc>
          <w:tcPr>
            <w:tcW w:w="22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384E1AE" w14:textId="77777777" w:rsidR="00AB2B83" w:rsidRDefault="00000000">
            <w:pPr>
              <w:spacing w:before="0" w:after="30" w:line="259" w:lineRule="auto"/>
              <w:jc w:val="left"/>
              <w:keepNext/>
            </w:pPr>
            <w:r>
              <w:rPr>
                <w:color w:val="000000"/>
                <w:lang w:val="es-MX"/>
              </w:rPr>
              <w:t xml:space="preserve">Realizar entrevistas, tareas y revisión de presupuesto</w:t>
            </w:r>
          </w:p>
        </w:tc>
        <w:trPr>
          <w:cantSplit/>
        </w:trPr>
      </w:tr>
      <w:tr w:rsidR="00AB2B83" w14:paraId="1BD28B2F" w14:textId="77777777">
        <w:tc>
          <w:tcPr>
            <w:tcW w:w="2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50E87EB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La app móvil es parte de la visión integral</w:t>
            </w:r>
          </w:p>
        </w:tc>
        <w:tc>
          <w:tcPr>
            <w:tcW w:w="25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6980F9AA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Alcance confirmado por el promotor del proyecto</w:t>
            </w:r>
          </w:p>
        </w:tc>
        <w:tc>
          <w:tcPr>
            <w:tcW w:w="210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3F6F0E9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Construirla después del MVP administrativo</w:t>
            </w:r>
          </w:p>
        </w:tc>
        <w:tc>
          <w:tcPr>
            <w:tcW w:w="2260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384E1AE" w14:textId="77777777" w:rsidR="00AB2B83" w:rsidRDefault="00000000">
            <w:pPr>
              <w:spacing w:before="0" w:after="30" w:line="259" w:lineRule="auto"/>
              <w:jc w:val="left"/>
            </w:pPr>
            <w:r>
              <w:rPr>
                <w:color w:val="000000"/>
                <w:lang w:val="es-MX"/>
              </w:rPr>
              <w:t xml:space="preserve">Definir API e identidad de clientes y probar aislamiento</w:t>
            </w:r>
          </w:p>
        </w:tc>
        <w:trPr>
          <w:cantSplit/>
        </w:trPr>
      </w:tr>
    </w:tbl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11 Revisión final del MVP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Definido:</w:t>
      </w:r>
      <w:r>
        <w:rPr>
          <w:color w:val="000000"/>
          <w:lang w:val="es-MX"/>
        </w:rPr>
        <w:t xml:space="preserve"> cliente empresarial, usuarios del primer piloto y diferencia con los clientes de la app móvil.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Planificado:</w:t>
      </w:r>
      <w:r>
        <w:rPr>
          <w:color w:val="000000"/>
          <w:lang w:val="es-MX"/>
        </w:rPr>
        <w:t xml:space="preserve"> diez entrevistas de investigación y una sesión con el decisor; pendiente ejecutarlas y registrar resultados.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Definido:</w:t>
      </w:r>
      <w:r>
        <w:rPr>
          <w:color w:val="000000"/>
          <w:lang w:val="es-MX"/>
        </w:rPr>
        <w:t xml:space="preserve"> funciones Must y condiciones de aceptación del recorrido completo.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Seleccionado:</w:t>
      </w:r>
      <w:r>
        <w:rPr>
          <w:color w:val="000000"/>
          <w:lang w:val="es-MX"/>
        </w:rPr>
        <w:t xml:space="preserve"> producto con código sobre el ERP existente, con prototipo como apoyo de diseño.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Definido:</w:t>
      </w:r>
      <w:r>
        <w:rPr>
          <w:color w:val="000000"/>
          <w:lang w:val="es-MX"/>
        </w:rPr>
        <w:t xml:space="preserve"> métricas y metas antes del lanzamiento; su cumplimiento todavía no se declara.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Planificado:</w:t>
      </w:r>
      <w:r>
        <w:rPr>
          <w:color w:val="000000"/>
          <w:lang w:val="es-MX"/>
        </w:rPr>
        <w:t xml:space="preserve"> formulario de observación y bitácora de comentarios; pendiente comprobarlos con la muestra.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Propuesto:</w:t>
      </w:r>
      <w:r>
        <w:rPr>
          <w:color w:val="000000"/>
          <w:lang w:val="es-MX"/>
        </w:rPr>
        <w:t xml:space="preserve"> decisión del MVP el 27/11/2026, beta integral el 26/02/2027 y cierre el 26/03/2027.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b/>
          <w:color w:val="000000"/>
          <w:lang w:val="es-MX"/>
        </w:rPr>
        <w:t xml:space="preserve">Pendiente de aceptación:</w:t>
      </w:r>
      <w:r>
        <w:rPr>
          <w:color w:val="000000"/>
          <w:lang w:val="es-MX"/>
        </w:rPr>
        <w:t xml:space="preserve"> datos del piloto, fechas, asignación de roles, plataformas móviles, infraestructura y revisión comercial.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Errores que debemos evitar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color w:val="000000"/>
          <w:lang w:val="es-MX"/>
        </w:rPr>
        <w:t xml:space="preserve">Ampliar el primer MVP para aparentar que todo el ERP está terminado sin conectar sus operaciones.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color w:val="000000"/>
          <w:lang w:val="es-MX"/>
        </w:rPr>
        <w:t xml:space="preserve">Presentar datos de demostración, entrevistas planeadas o intención de compra como resultados reales.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color w:val="000000"/>
          <w:lang w:val="es-MX"/>
        </w:rPr>
        <w:t xml:space="preserve">Confundir la liberación del MVP con la fecha de cierre de servidores y app móvil.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color w:val="000000"/>
          <w:lang w:val="es-MX"/>
        </w:rPr>
        <w:t xml:space="preserve">Permitir que el cliente móvil envíe la organización o el identificador ajeno como autorización suficiente.</w:t>
      </w:r>
    </w:p>
    <w:p w14:paraId="0FFBEFFC" w14:textId="77777777" w:rsidR="00AB2B83" w:rsidRPr="003D280D" w:rsidRDefault="00000000">
      <w:pPr>
        <w:pStyle w:val="Prrafodelista"/>
        <w:numPr>
          <w:ilvl w:val="0"/>
          <w:numId w:val="2"/>
        </w:numPr>
        <w:rPr>
          <w:lang w:val="es-MX"/>
        </w:rPr>
        <w:keepLines/>
      </w:pPr>
      <w:r>
        <w:rPr>
          <w:color w:val="000000"/>
          <w:lang w:val="es-MX"/>
        </w:rPr>
        <w:t xml:space="preserve">Liberar con fallos críticos o sin restauración probada para cumplir una fecha del calendario.</w:t>
      </w:r>
    </w:p>
    <w:p w14:paraId="359A4D45" w14:textId="77777777" w:rsidR="00AB2B83" w:rsidRDefault="00000000">
      <w:pPr>
        <w:pStyle w:val="Ttulo3"/>
        <w:keepLines/>
        <w:keepNext/>
      </w:pPr>
      <w:r>
        <w:rPr>
          <w:color w:val="000000"/>
          <w:lang w:val="es-MX"/>
        </w:rPr>
        <w:t xml:space="preserve">Fuentes y trazabilidad del alcance</w:t>
      </w:r>
    </w:p>
    <w:p w14:paraId="67974953" w14:textId="77777777" w:rsidR="00AB2B83" w:rsidRPr="003D280D" w:rsidRDefault="00000000">
      <w:pPr>
        <w:rPr>
          <w:lang w:val="es-MX"/>
        </w:rPr>
        <w:keepLines/>
      </w:pPr>
      <w:r>
        <w:rPr>
          <w:sz w:val="20"/>
          <w:color w:val="000000"/>
          <w:lang w:val="es-MX"/>
        </w:rPr>
        <w:t xml:space="preserve">[I1] ComeCore Documentación interna del modelo actual y cobertura de acciones. Corte del 14/10/2026. Se conserva la distinción entre tablas aplicadas, snapshot y pantallas demo.</w:t>
      </w:r>
    </w:p>
    <w:p w14:paraId="67974953" w14:textId="77777777" w:rsidR="00AB2B83" w:rsidRPr="003D280D" w:rsidRDefault="00000000">
      <w:pPr>
        <w:rPr>
          <w:lang w:val="es-MX"/>
        </w:rPr>
        <w:keepLines/>
      </w:pPr>
      <w:r>
        <w:rPr>
          <w:sz w:val="20"/>
          <w:color w:val="000000"/>
          <w:lang w:val="es-MX"/>
        </w:rPr>
        <w:t xml:space="preserve">[I2] ComeCore Informe local de verificación del 14/10/2026. Las pruebas de autenticación y SQL sustentan el punto de partida técnico, no una validación de negocio ni de producción.</w:t>
      </w:r>
    </w:p>
    <w:p w14:paraId="67974953" w14:textId="77777777" w:rsidR="00AB2B83" w:rsidRPr="003D280D" w:rsidRDefault="00000000">
      <w:pPr>
        <w:rPr>
          <w:lang w:val="es-MX"/>
        </w:rPr>
        <w:keepLines/>
      </w:pPr>
      <w:r>
        <w:rPr>
          <w:sz w:val="20"/>
          <w:color w:val="000000"/>
          <w:lang w:val="es-MX"/>
        </w:rPr>
        <w:t xml:space="preserve">[P1] Presupuesto de desarrollo de ComeCore versión 1.0 del 14/10/2026. Documento complementario de esta entrega. Precios externos y supuestos documentados en sus fuentes S1 a S7.</w:t>
      </w:r>
    </w:p>
    <w:p w14:paraId="67974953" w14:textId="77777777" w:rsidR="00AB2B83" w:rsidRPr="003D280D" w:rsidRDefault="00000000">
      <w:pPr>
        <w:rPr>
          <w:lang w:val="es-MX"/>
        </w:rPr>
        <w:keepLines/>
      </w:pPr>
      <w:r>
        <w:rPr>
          <w:sz w:val="20"/>
          <w:color w:val="000000"/>
          <w:lang w:val="es-MX"/>
        </w:rPr>
        <w:t xml:space="preserve">[M1] Plantillas Presupuesto de proyecto y MVP. Documento proporcionado para la estructura de los once apartados. Los campos se completaron para el ISP CometaLink.</w:t>
      </w:r>
    </w:p>
    <w:sectPr w:rsidR="00AB2B83" w:rsidRPr="003D280D">
      <w:headerReference w:type="first" r:id="rIdComeCoreLogoHeader"/>
      <w:pgSz w:w="12240" w:h="15840"/>
      <w:pgMar w:top="1440" w:right="1440" w:bottom="1440" w:left="1440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ComeCoreLogo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0" w:lineRule="exact"/>
    </w:pPr>
    <w:r>
      <w:drawing>
        <wp:anchor distT="0" distB="0" distL="0" distR="0" simplePos="0" relativeHeight="1" behindDoc="0" locked="0" layoutInCell="1" allowOverlap="0">
          <wp:simplePos x="0" y="0"/>
          <wp:positionH relativeFrom="margin">
            <wp:align>right</wp:align>
          </wp:positionH>
          <wp:positionV relativeFrom="page">
            <wp:posOffset>228600</wp:posOffset>
          </wp:positionV>
          <wp:extent cx="960120" cy="920586"/>
          <wp:effectExtent l="0" t="0" r="0" b="0"/>
          <wp:wrapNone/>
          <wp:docPr id="74001" name="Logo ComeCore" descr="Logo de ComeCore sin fondo con el lema Controla Conecta Crec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mecore-controla-conecta-crece.png"/>
                  <pic:cNvPicPr/>
                </pic:nvPicPr>
                <pic:blipFill>
                  <a:blip r:embed="rIdComeCoreImage"/>
                  <a:stretch>
                    <a:fillRect/>
                  </a:stretch>
                </pic:blipFill>
                <pic:spPr>
                  <a:xfrm>
                    <a:off x="0" y="0"/>
                    <a:ext cx="960120" cy="9205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90648"/>
    <w:multiLevelType w:val="hybridMultilevel"/>
    <w:tmpl w:val="640ECAC4"/>
    <w:lvl w:ilvl="0" w:tplc="69F2F698">
      <w:start w:val="1"/>
      <w:numFmt w:val="bullet"/>
      <w:lvlText w:val="•"/>
      <w:lvlJc w:val="left"/>
      <w:pPr>
        <w:ind w:left="720" w:hanging="360"/>
      </w:pPr>
    </w:lvl>
    <w:lvl w:ilvl="1" w:tplc="A8FC5E56">
      <w:start w:val="1"/>
      <w:numFmt w:val="bullet"/>
      <w:lvlText w:val="o"/>
      <w:lvlJc w:val="left"/>
      <w:pPr>
        <w:ind w:left="1440" w:hanging="360"/>
      </w:pPr>
    </w:lvl>
    <w:lvl w:ilvl="2" w:tplc="7B70D82C">
      <w:start w:val="1"/>
      <w:numFmt w:val="bullet"/>
      <w:lvlText w:val="▪"/>
      <w:lvlJc w:val="left"/>
      <w:pPr>
        <w:ind w:left="2160" w:hanging="360"/>
      </w:pPr>
    </w:lvl>
    <w:lvl w:ilvl="3" w:tplc="B3AAF9D8">
      <w:start w:val="1"/>
      <w:numFmt w:val="bullet"/>
      <w:lvlText w:val="•"/>
      <w:lvlJc w:val="left"/>
      <w:pPr>
        <w:ind w:left="2880" w:hanging="360"/>
      </w:pPr>
    </w:lvl>
    <w:lvl w:ilvl="4" w:tplc="6360D5B0">
      <w:start w:val="1"/>
      <w:numFmt w:val="bullet"/>
      <w:lvlText w:val="o"/>
      <w:lvlJc w:val="left"/>
      <w:pPr>
        <w:ind w:left="3600" w:hanging="360"/>
      </w:pPr>
    </w:lvl>
    <w:lvl w:ilvl="5" w:tplc="5EEAA456">
      <w:start w:val="1"/>
      <w:numFmt w:val="bullet"/>
      <w:lvlText w:val="▪"/>
      <w:lvlJc w:val="left"/>
      <w:pPr>
        <w:ind w:left="4320" w:hanging="360"/>
      </w:pPr>
    </w:lvl>
    <w:lvl w:ilvl="6" w:tplc="E026B3FE">
      <w:start w:val="1"/>
      <w:numFmt w:val="bullet"/>
      <w:lvlText w:val="•"/>
      <w:lvlJc w:val="left"/>
      <w:pPr>
        <w:ind w:left="5040" w:hanging="360"/>
      </w:pPr>
    </w:lvl>
    <w:lvl w:ilvl="7" w:tplc="CCA0B432">
      <w:start w:val="1"/>
      <w:numFmt w:val="bullet"/>
      <w:lvlText w:val="o"/>
      <w:lvlJc w:val="left"/>
      <w:pPr>
        <w:ind w:left="5760" w:hanging="360"/>
      </w:pPr>
    </w:lvl>
    <w:lvl w:ilvl="8" w:tplc="8C46F5C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E4A12DD"/>
    <w:multiLevelType w:val="hybridMultilevel"/>
    <w:tmpl w:val="BACEF960"/>
    <w:lvl w:ilvl="0" w:tplc="9954D6A2">
      <w:start w:val="1"/>
      <w:numFmt w:val="decimal"/>
      <w:lvlText w:val="%1."/>
      <w:lvlJc w:val="left"/>
      <w:pPr>
        <w:ind w:left="720" w:hanging="360"/>
      </w:pPr>
    </w:lvl>
    <w:lvl w:ilvl="1" w:tplc="C346DE06">
      <w:start w:val="1"/>
      <w:numFmt w:val="lowerLetter"/>
      <w:lvlText w:val="%2."/>
      <w:lvlJc w:val="left"/>
      <w:pPr>
        <w:ind w:left="1440" w:hanging="360"/>
      </w:pPr>
    </w:lvl>
    <w:lvl w:ilvl="2" w:tplc="0C8A51E8">
      <w:start w:val="1"/>
      <w:numFmt w:val="lowerRoman"/>
      <w:lvlText w:val="%3."/>
      <w:lvlJc w:val="left"/>
      <w:pPr>
        <w:ind w:left="2160" w:hanging="360"/>
      </w:pPr>
    </w:lvl>
    <w:lvl w:ilvl="3" w:tplc="C7AE1A32">
      <w:start w:val="1"/>
      <w:numFmt w:val="decimal"/>
      <w:lvlText w:val="%4."/>
      <w:lvlJc w:val="left"/>
      <w:pPr>
        <w:ind w:left="2880" w:hanging="360"/>
      </w:pPr>
    </w:lvl>
    <w:lvl w:ilvl="4" w:tplc="2E8AB0DC">
      <w:start w:val="1"/>
      <w:numFmt w:val="lowerLetter"/>
      <w:lvlText w:val="%5."/>
      <w:lvlJc w:val="left"/>
      <w:pPr>
        <w:ind w:left="3600" w:hanging="360"/>
      </w:pPr>
    </w:lvl>
    <w:lvl w:ilvl="5" w:tplc="763A1D1A">
      <w:start w:val="1"/>
      <w:numFmt w:val="lowerRoman"/>
      <w:lvlText w:val="%6."/>
      <w:lvlJc w:val="left"/>
      <w:pPr>
        <w:ind w:left="4320" w:hanging="360"/>
      </w:pPr>
    </w:lvl>
    <w:lvl w:ilvl="6" w:tplc="DFD2FA6E">
      <w:start w:val="1"/>
      <w:numFmt w:val="decimal"/>
      <w:lvlText w:val="%7."/>
      <w:lvlJc w:val="left"/>
      <w:pPr>
        <w:ind w:left="5040" w:hanging="360"/>
      </w:pPr>
    </w:lvl>
    <w:lvl w:ilvl="7" w:tplc="E1843BFC">
      <w:start w:val="1"/>
      <w:numFmt w:val="lowerLetter"/>
      <w:lvlText w:val="%8."/>
      <w:lvlJc w:val="left"/>
      <w:pPr>
        <w:ind w:left="5760" w:hanging="360"/>
      </w:pPr>
    </w:lvl>
    <w:lvl w:ilvl="8" w:tplc="84042EB4">
      <w:start w:val="1"/>
      <w:numFmt w:val="lowerRoman"/>
      <w:lvlText w:val="%9."/>
      <w:lvlJc w:val="left"/>
      <w:pPr>
        <w:ind w:left="6480" w:hanging="360"/>
      </w:pPr>
    </w:lvl>
  </w:abstractNum>
  <w:num w:numId="1" w16cid:durableId="814957871">
    <w:abstractNumId w:val="0"/>
  </w:num>
  <w:num w:numId="2" w16cid:durableId="863597234">
    <w:abstractNumId w:val="0"/>
  </w:num>
  <w:num w:numId="3" w16cid:durableId="2130660163">
    <w:abstractNumId w:val="0"/>
  </w:num>
  <w:num w:numId="4" w16cid:durableId="1396472367">
    <w:abstractNumId w:val="0"/>
  </w:num>
  <w:num w:numId="5" w16cid:durableId="1558123526">
    <w:abstractNumId w:val="0"/>
  </w:num>
  <w:num w:numId="6" w16cid:durableId="540410146">
    <w:abstractNumId w:val="0"/>
  </w:num>
  <w:num w:numId="7" w16cid:durableId="866598988">
    <w:abstractNumId w:val="1"/>
    <w:lvlOverride w:ilvl="0">
      <w:startOverride w:val="1"/>
    </w:lvlOverride>
  </w:num>
  <w:num w:numId="8" w16cid:durableId="257834704">
    <w:abstractNumId w:val="0"/>
  </w:num>
  <w:num w:numId="9" w16cid:durableId="1461343576">
    <w:abstractNumId w:val="0"/>
  </w:num>
  <w:num w:numId="10" w16cid:durableId="71100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2B83"/>
    <w:rsid w:val="003D280D"/>
    <w:rsid w:val="00741174"/>
    <w:rsid w:val="007C1168"/>
    <w:rsid w:val="00AB2B83"/>
    <w:rsid w:val="00D96F79"/>
    <w:rsid w:val="00DF1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A4D7"/>
  <w15:docId w15:val="{561FD39D-F6CD-429C-9B29-25EC1584A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ComeCoreLogoHeader" Type="http://schemas.openxmlformats.org/officeDocument/2006/relationships/header" Target="headerComeCoreLogo.xml"/></Relationships>
</file>

<file path=word/_rels/headerComeCoreLogo.xml.rels><?xml version='1.0' encoding='UTF-8' standalone='yes'?>
<Relationships xmlns="http://schemas.openxmlformats.org/package/2006/relationships"><Relationship Id="rIdComeCoreImage" Type="http://schemas.openxmlformats.org/officeDocument/2006/relationships/image" Target="media/comecore-logo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B183C68D2F8341BA7A5B8C3AF3428E" ma:contentTypeVersion="10" ma:contentTypeDescription="Create a new document." ma:contentTypeScope="" ma:versionID="c47b576417cb587f10a29b9c0a57137d">
  <xsd:schema xmlns:xsd="http://www.w3.org/2001/XMLSchema" xmlns:xs="http://www.w3.org/2001/XMLSchema" xmlns:p="http://schemas.microsoft.com/office/2006/metadata/properties" xmlns:ns2="ec1a675d-ecd7-419f-9266-ad0c69af0932" xmlns:ns3="0e4a71c4-7590-43b9-9544-a5b7b90c2845" targetNamespace="http://schemas.microsoft.com/office/2006/metadata/properties" ma:root="true" ma:fieldsID="86f79fce6af07513ccf3d2e1216a3eaf" ns2:_="" ns3:_="">
    <xsd:import namespace="ec1a675d-ecd7-419f-9266-ad0c69af0932"/>
    <xsd:import namespace="0e4a71c4-7590-43b9-9544-a5b7b90c284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a675d-ecd7-419f-9266-ad0c69af093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b0f8b6-b930-42a9-ab79-04e59fde58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4a71c4-7590-43b9-9544-a5b7b90c28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ad10611-9ec1-4713-945f-299881344410}" ma:internalName="TaxCatchAll" ma:showField="CatchAllData" ma:web="0e4a71c4-7590-43b9-9544-a5b7b90c28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1a675d-ecd7-419f-9266-ad0c69af0932">
      <Terms xmlns="http://schemas.microsoft.com/office/infopath/2007/PartnerControls"/>
    </lcf76f155ced4ddcb4097134ff3c332f>
    <ReferenceId xmlns="ec1a675d-ecd7-419f-9266-ad0c69af0932" xsi:nil="true"/>
    <TaxCatchAll xmlns="0e4a71c4-7590-43b9-9544-a5b7b90c2845" xsi:nil="true"/>
  </documentManagement>
</p:properties>
</file>

<file path=customXml/itemProps1.xml><?xml version="1.0" encoding="utf-8"?>
<ds:datastoreItem xmlns:ds="http://schemas.openxmlformats.org/officeDocument/2006/customXml" ds:itemID="{8DB26E0E-A3F1-407E-B817-1A04539DDBE1}"/>
</file>

<file path=customXml/itemProps2.xml><?xml version="1.0" encoding="utf-8"?>
<ds:datastoreItem xmlns:ds="http://schemas.openxmlformats.org/officeDocument/2006/customXml" ds:itemID="{8FD878C8-EC2A-4E28-97EB-B7319E84D638}"/>
</file>

<file path=customXml/itemProps3.xml><?xml version="1.0" encoding="utf-8"?>
<ds:datastoreItem xmlns:ds="http://schemas.openxmlformats.org/officeDocument/2006/customXml" ds:itemID="{6D2813BA-5713-48E7-B17E-434D9F07FC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1349</Words>
  <Characters>7420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Plantillas Presupuesto de desarrollo de proyectos y MVP</vt:lpstr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Producto mínimo viable de ComeCore</dc:title>
  <dc:description>Claude Docs node/5f813e61-8b5c@1 docx-w6</dc:description>
  <cp:lastModifiedBy>Juan Diego Reyes Carrasco; Emmanuel Hernández Ibarra; Diego Montiel Hernández; Osvaldo Uriel González Maldonado</cp:lastModifiedBy>
  <cp:revision>2</cp:revision>
  <dcterms:created xsi:type="dcterms:W3CDTF">2026-10-13T15:45:00Z</dcterms:created>
  <dcterms:modified xsi:type="dcterms:W3CDTF">2026-10-13T17:04:00Z</dcterms:modified>
  <dc:creator>Juan Diego Reyes Carrasco; Emmanuel Hernández Ibarra; Diego Montiel Hernández; Osvaldo Uriel González Maldonado</dc:creator>
  <dc:subject>ComeCore para el ISP CometaLink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0x010100A6B183C68D2F8341BA7A5B8C3AF3428E</vt:lpwstr>
  </property>
</Properties>
</file>