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DataEnergía Metropolitan · Lumina Energía</w:t>
      </w:r>
    </w:p>
    <w:p>
      <w:pPr>
        <w:pStyle w:val="Subtitle"/>
      </w:pPr>
      <w:r>
        <w:t xml:space="preserve">Entrega 1: sustentación técnica, económica y de resiliencia, y blueprint de ingesta y almacenamiento</w:t>
      </w:r>
    </w:p>
    <w:p>
      <w:pPr>
        <w:pStyle w:val="Author"/>
      </w:pPr>
      <w:r>
        <w:t xml:space="preserve">Piero Palacios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Documento elaborado con asistencia de IA generativa (Claude). Las cifras de costo usan precios de lista de Google Cloud (us-central1, octubre de 2026) y deben validarse con la Google Cloud Pricing Calculator; las decisiones técnicas, con el docente.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Lumina Energía necesita convertir las lecturas de 8 millones de medidores inteligentes, hoy usadas solo para facturar, en decisiones de red en tiempo real, planes diarios de demanda, informes operativos y mantenimiento predictivo. Proponemos un</w:t>
      </w:r>
      <w:r>
        <w:t xml:space="preserve"> </w:t>
      </w:r>
      <w:r>
        <w:rPr>
          <w:b/>
          <w:bCs/>
        </w:rPr>
        <w:t xml:space="preserve">lakehouse en Google Cloud con APIs de código abierto</w:t>
      </w:r>
      <w:r>
        <w:t xml:space="preserve"> </w:t>
      </w:r>
      <w:r>
        <w:t xml:space="preserve">(Kafka, Spark, Airflow, Parquet) sobre servicios gestionados, con BigQuery como data warehouse y Bigtable para servir la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 (8 M medidores, cada 30 min)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plataforma, primer año, producción</w:t>
            </w:r>
          </w:p>
        </w:tc>
        <w:tc>
          <w:tcPr/>
          <w:p>
            <w:pPr>
              <w:pStyle w:val="Compact"/>
            </w:pPr>
            <w:r>
              <w:t xml:space="preserve">≈ US$29 k (US$0.0003 por medidor al mes)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Escenario de lectura cada 1 min</w:t>
            </w:r>
          </w:p>
        </w:tc>
        <w:tc>
          <w:tcPr/>
          <w:p>
            <w:pPr>
              <w:pStyle w:val="Compact"/>
            </w:pPr>
            <w:r>
              <w:t xml:space="preserve">≈ US$157 k/año, el costo por lectura baja 5.6×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 hora punta (17–21 h) sobre el promedio diario</w:t>
            </w:r>
          </w:p>
        </w:tc>
        <w:tc>
          <w:tcPr/>
          <w:p>
            <w:pPr>
              <w:pStyle w:val="Compact"/>
            </w:pPr>
            <w:r>
              <w:t xml:space="preserve">+39 %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por hogar en los días más fríos</w:t>
            </w:r>
          </w:p>
        </w:tc>
        <w:tc>
          <w:tcPr/>
          <w:p>
            <w:pPr>
              <w:pStyle w:val="Compact"/>
            </w:pPr>
            <w:r>
              <w:t xml:space="preserve">+33 %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 implementado: lecturas procesadas y validadas</w:t>
            </w:r>
          </w:p>
        </w:tc>
        <w:tc>
          <w:tcPr/>
          <w:p>
            <w:pPr>
              <w:pStyle w:val="Compact"/>
            </w:pPr>
            <w:r>
              <w:t xml:space="preserve">167.8 M, coincidencia exacta con la fuente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del prototipo hasta hoy</w:t>
            </w:r>
          </w:p>
        </w:tc>
        <w:tc>
          <w:tcPr/>
          <w:p>
            <w:pPr>
              <w:pStyle w:val="Compact"/>
            </w:pPr>
            <w:r>
              <w:t xml:space="preserve">≈ US$1 de US$300</w:t>
            </w:r>
          </w:p>
        </w:tc>
        <w:tc>
          <w:tcPr/>
          <w:p>
            <w:pPr>
              <w:pStyle w:val="Compact"/>
            </w:pPr>
            <w:r>
              <w:t xml:space="preserve">Bitácora de costos</w:t>
            </w:r>
          </w:p>
        </w:tc>
      </w:tr>
    </w:tbl>
    <w:bookmarkEnd w:id="20"/>
    <w:bookmarkStart w:id="29" w:name="arquitectura-end-to-end"/>
    <w:p>
      <w:pPr>
        <w:pStyle w:val="Heading1"/>
      </w:pPr>
      <w:r>
        <w:t xml:space="preserve">2. Arquitectura end-to-end</w:t>
      </w:r>
    </w:p>
    <w:p>
      <w:pPr>
        <w:pStyle w:val="CaptionedFigure"/>
      </w:pPr>
      <w:r>
        <w:drawing>
          <wp:inline>
            <wp:extent cx="5334000" cy="2067593"/>
            <wp:effectExtent b="0" l="0" r="0" t="0"/>
            <wp:docPr descr="Arquitectura de producción en cuatro capas" title="" id="22" name="Picture"/>
            <a:graphic>
              <a:graphicData uri="http://schemas.openxmlformats.org/drawingml/2006/picture">
                <pic:pic>
                  <pic:nvPicPr>
                    <pic:cNvPr descr="diagrama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7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producción en cuatro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Kafka; Kafka Connect y Storage Transfer para cargas batch</w:t>
            </w:r>
          </w:p>
        </w:tc>
        <w:tc>
          <w:tcPr/>
          <w:p>
            <w:pPr>
              <w:pStyle w:val="Compact"/>
            </w:pPr>
            <w:r>
              <w:t xml:space="preserve">Recibir lecturas, demanda de red y eventos de tarifa como flujo; traer clima y maestros por lotes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(24/7); Spark batch serverless (Managed Service for Apache Spark, ex Dataproc Serverless); BigQuery SQL/BQML</w:t>
            </w:r>
          </w:p>
        </w:tc>
        <w:tc>
          <w:tcPr/>
          <w:p>
            <w:pPr>
              <w:pStyle w:val="Compact"/>
            </w:pPr>
            <w:r>
              <w:t xml:space="preserve">Detectar picos, anomalías y huecos en segundos; limpiar y modelar el histórico; pronosticar la demanda D+1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Lakehouse en GCS (raw, silver, gold en Parquet); BigQuery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(capa batch) y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(capa de velocidad); Bigtable</w:t>
            </w:r>
          </w:p>
        </w:tc>
        <w:tc>
          <w:tcPr/>
          <w:p>
            <w:pPr>
              <w:pStyle w:val="Compact"/>
            </w:pPr>
            <w:r>
              <w:t xml:space="preserve">Fuente de verdad barata y abierta; warehouse analítico histórico y de lo reciente; serie de tiempo por medidor para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(unen historia y hoy); API REST/WebSocket en Cloud Run; Looker Studio;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</w:p>
        </w:tc>
        <w:tc>
          <w:tcPr/>
          <w:p>
            <w:pPr>
              <w:pStyle w:val="Compact"/>
            </w:pPr>
            <w:r>
              <w:t xml:space="preserve">Una sola vista de los datos para la app, los informes OLAP y las señales de respuesta a la demanda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Airflow (Composer 3), IAM, Secret Manager, policy tags, Cloud Monitoring y Logging</w:t>
            </w:r>
          </w:p>
        </w:tc>
        <w:tc>
          <w:tcPr/>
          <w:p>
            <w:pPr>
              <w:pStyle w:val="Compact"/>
            </w:pPr>
            <w:r>
              <w:t xml:space="preserve">Orquestación, seguridad, gobierno y observabilidad</w:t>
            </w:r>
          </w:p>
        </w:tc>
      </w:tr>
    </w:tbl>
    <w:bookmarkStart w:id="27" w:name="X4443dd0ec4c01ffed4c05da6fb54d7eae3b635e"/>
    <w:p>
      <w:pPr>
        <w:pStyle w:val="Heading2"/>
      </w:pPr>
      <w:r>
        <w:t xml:space="preserve">2.1 Patrón Lambda: cómo se combinan batch y streaming</w:t>
      </w:r>
    </w:p>
    <w:p>
      <w:pPr>
        <w:pStyle w:val="FirstParagraph"/>
      </w:pPr>
      <w:r>
        <w:t xml:space="preserve">La arquitectura sigue el patrón</w:t>
      </w:r>
      <w:r>
        <w:t xml:space="preserve"> </w:t>
      </w:r>
      <w:r>
        <w:rPr>
          <w:b/>
          <w:bCs/>
        </w:rPr>
        <w:t xml:space="preserve">Lambda</w:t>
      </w:r>
      <w:r>
        <w:t xml:space="preserve">: una</w:t>
      </w:r>
      <w:r>
        <w:t xml:space="preserve"> </w:t>
      </w:r>
      <w:r>
        <w:rPr>
          <w:b/>
          <w:bCs/>
        </w:rPr>
        <w:t xml:space="preserve">capa batch</w:t>
      </w:r>
      <w:r>
        <w:t xml:space="preserve"> </w:t>
      </w:r>
      <w:r>
        <w:t xml:space="preserve">que guarda la verdad histórica y aprende qué es normal para cada hogar, una</w:t>
      </w:r>
      <w:r>
        <w:t xml:space="preserve"> </w:t>
      </w:r>
      <w:r>
        <w:rPr>
          <w:b/>
          <w:bCs/>
        </w:rPr>
        <w:t xml:space="preserve">capa de velocidad</w:t>
      </w:r>
      <w:r>
        <w:t xml:space="preserve"> </w:t>
      </w:r>
      <w:r>
        <w:t xml:space="preserve">que evalúa cada lectura nueva en segundos, y una</w:t>
      </w:r>
      <w:r>
        <w:t xml:space="preserve"> </w:t>
      </w:r>
      <w:r>
        <w:rPr>
          <w:b/>
          <w:bCs/>
        </w:rPr>
        <w:t xml:space="preserve">capa de servicio</w:t>
      </w:r>
      <w:r>
        <w:t xml:space="preserve"> </w:t>
      </w:r>
      <w:r>
        <w:t xml:space="preserve">que las une. Se descartó</w:t>
      </w:r>
      <w:r>
        <w:t xml:space="preserve"> </w:t>
      </w:r>
      <w:r>
        <w:rPr>
          <w:b/>
          <w:bCs/>
        </w:rPr>
        <w:t xml:space="preserve">Kappa</w:t>
      </w:r>
      <w:r>
        <w:t xml:space="preserve"> </w:t>
      </w:r>
      <w:r>
        <w:t xml:space="preserve">(solo streaming, reprocesando la historia desde el log de Kafka), porque los perfiles por hogar, el pronóstico D+1 y los informes requieren recalcular dos años de historia, y eso es más barato y simple en batch. Para no duplicar lógica, ambas capas usan el mismo motor (Spark) y una sola puerta de entrada (Kafka).</w:t>
      </w:r>
    </w:p>
    <w:p>
      <w:pPr>
        <w:pStyle w:val="CaptionedFigure"/>
      </w:pPr>
      <w:r>
        <w:drawing>
          <wp:inline>
            <wp:extent cx="5334000" cy="765753"/>
            <wp:effectExtent b="0" l="0" r="0" t="0"/>
            <wp:docPr descr="Arquitectura Lambda y puntos de sincronización" title="" id="25" name="Picture"/>
            <a:graphic>
              <a:graphicData uri="http://schemas.openxmlformats.org/drawingml/2006/picture">
                <pic:pic>
                  <pic:nvPicPr>
                    <pic:cNvPr descr="../diagrama_lambd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Lambda y puntos de sincronización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Sincronización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lectura en vivo pasa a la historia</w:t>
            </w:r>
          </w:p>
        </w:tc>
        <w:tc>
          <w:tcPr/>
          <w:p>
            <w:pPr>
              <w:pStyle w:val="Compact"/>
            </w:pPr>
            <w:r>
              <w:t xml:space="preserve">Kafka Connect copia cada evento a bronze; el batch nocturno la procesa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 aprendido llega al 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perfil_hogar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umbral_zona</w:t>
            </w:r>
            <w:r>
              <w:t xml:space="preserve"> </w:t>
            </w:r>
            <w:r>
              <w:t xml:space="preserve">(batch) son los umbrales del streaming; se recargan cada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 sola vista para el consumo</w:t>
            </w:r>
          </w:p>
        </w:tc>
        <w:tc>
          <w:tcPr/>
          <w:p>
            <w:pPr>
              <w:pStyle w:val="Compact"/>
            </w:pPr>
            <w:r>
              <w:t xml:space="preserve">Las 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unen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(hasta ayer) con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(hoy)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dato provisional se vuelve definitivo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solo se toma lo posterior al último batch; si hay diferencia, manda el batch, que incorpora lecturas atrasadas</w:t>
            </w:r>
          </w:p>
        </w:tc>
      </w:tr>
    </w:tbl>
    <w:bookmarkEnd w:id="27"/>
    <w:bookmarkStart w:id="28" w:name="X8f9251a81d749753af419a6c9c278c55a66fbdd"/>
    <w:p>
      <w:pPr>
        <w:pStyle w:val="Heading2"/>
      </w:pPr>
      <w:r>
        <w:t xml:space="preserve">2.2 Producción frente al prototipo del taller</w:t>
      </w:r>
    </w:p>
    <w:p>
      <w:pPr>
        <w:pStyle w:val="FirstParagraph"/>
      </w:pPr>
      <w:r>
        <w:t xml:space="preserve">El prototipo usa los mismos motores y formatos con menos capacidad, para mantenerse dentro de US$300: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Prototipo (implementado o planificado)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Kafka, 3 zonas</w:t>
            </w:r>
          </w:p>
        </w:tc>
        <w:tc>
          <w:tcPr/>
          <w:p>
            <w:pPr>
              <w:pStyle w:val="Compact"/>
            </w:pPr>
            <w:r>
              <w:t xml:space="preserve">Kafka (KRaft) en una VM que se enciende por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Clúster Spark 24/7</w:t>
            </w:r>
          </w:p>
        </w:tc>
        <w:tc>
          <w:tcPr/>
          <w:p>
            <w:pPr>
              <w:pStyle w:val="Compact"/>
            </w:pPr>
            <w:r>
              <w:t xml:space="preserve">Spark Structured Streaming en la misma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 diario</w:t>
            </w:r>
          </w:p>
        </w:tc>
        <w:tc>
          <w:tcPr/>
          <w:p>
            <w:pPr>
              <w:pStyle w:val="Compact"/>
            </w:pPr>
            <w:r>
              <w:t xml:space="preserve">Spark serverless,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  <w:r>
              <w:t xml:space="preserve"> </w:t>
            </w:r>
            <w:r>
              <w:t xml:space="preserve">(silver y gold)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Airflow en la VM (mismos DAGs)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de la app</w:t>
            </w:r>
          </w:p>
        </w:tc>
        <w:tc>
          <w:tcPr/>
          <w:p>
            <w:pPr>
              <w:pStyle w:val="Compact"/>
            </w:pPr>
            <w:r>
              <w:t xml:space="preserve">Bigtable + Cloud Run</w:t>
            </w:r>
          </w:p>
        </w:tc>
        <w:tc>
          <w:tcPr/>
          <w:p>
            <w:pPr>
              <w:pStyle w:val="Compact"/>
            </w:pPr>
            <w:r>
              <w:t xml:space="preserve">BigQuery + Cloud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</w:t>
            </w:r>
          </w:p>
        </w:tc>
        <w:tc>
          <w:tcPr/>
          <w:p>
            <w:pPr>
              <w:pStyle w:val="Compact"/>
            </w:pPr>
            <w:r>
              <w:t xml:space="preserve">GCS dual-region</w:t>
            </w:r>
          </w:p>
        </w:tc>
        <w:tc>
          <w:tcPr/>
          <w:p>
            <w:pPr>
              <w:pStyle w:val="Compact"/>
            </w:pPr>
            <w:r>
              <w:t xml:space="preserve">GCS regional,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</w:tbl>
    <w:bookmarkEnd w:id="28"/>
    <w:bookmarkEnd w:id="29"/>
    <w:bookmarkStart w:id="33" w:name="integración-multifuente"/>
    <w:p>
      <w:pPr>
        <w:pStyle w:val="Heading1"/>
      </w:pPr>
      <w:r>
        <w:t xml:space="preserve">3. Integración multifuente</w:t>
      </w:r>
    </w:p>
    <w:bookmarkStart w:id="30" w:name="fuentes-y-mecanismo-de-captura"/>
    <w:p>
      <w:pPr>
        <w:pStyle w:val="Heading2"/>
      </w:pPr>
      <w:r>
        <w:t xml:space="preserve">3.1 Fuentes y mecanismo de captura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Llave de cruce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 (</w:t>
            </w:r>
            <w:r>
              <w:rPr>
                <w:rStyle w:val="VerbatimChar"/>
              </w:rPr>
              <w:t xml:space="preserve">halfhourly_dataset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IoT</w:t>
            </w:r>
          </w:p>
        </w:tc>
        <w:tc>
          <w:tcPr/>
          <w:p>
            <w:pPr>
              <w:pStyle w:val="Compact"/>
            </w:pPr>
            <w:r>
              <w:t xml:space="preserve">30 min (→ 1 min)</w:t>
            </w:r>
          </w:p>
        </w:tc>
        <w:tc>
          <w:tcPr/>
          <w:p>
            <w:pPr>
              <w:pStyle w:val="Compact"/>
            </w:pPr>
            <w:r>
              <w:t xml:space="preserve">Streaming (Kafka)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Hogares y segmento Acorn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Casi 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demográfico Acorn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DarkSky (horario, diario)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Horaria</w:t>
            </w:r>
          </w:p>
        </w:tc>
        <w:tc>
          <w:tcPr/>
          <w:p>
            <w:pPr>
              <w:pStyle w:val="Compact"/>
            </w:pPr>
            <w:r>
              <w:t xml:space="preserve">Batch (prod.: API de pronóstico)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NOAA GSOD (Heathrow)</w:t>
            </w:r>
          </w:p>
        </w:tc>
        <w:tc>
          <w:tcPr/>
          <w:p>
            <w:pPr>
              <w:pStyle w:val="Compact"/>
            </w:pPr>
            <w:r>
              <w:t xml:space="preserve">Warehouse público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t xml:space="preserve">Consulta directa en BigQuery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Feriados del Reino Unido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nacional y renovables (National Grid ESO)</w:t>
            </w:r>
          </w:p>
        </w:tc>
        <w:tc>
          <w:tcPr/>
          <w:p>
            <w:pPr>
              <w:pStyle w:val="Compact"/>
            </w:pPr>
            <w:r>
              <w:t xml:space="preserve">Externa, red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Streaming /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de tarifa dinámica (dToU 2013)</w:t>
            </w:r>
          </w:p>
        </w:tc>
        <w:tc>
          <w:tcPr/>
          <w:p>
            <w:pPr>
              <w:pStyle w:val="Compact"/>
            </w:pPr>
            <w:r>
              <w:t xml:space="preserve">Externa, precio</w:t>
            </w:r>
          </w:p>
        </w:tc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</w:tbl>
    <w:bookmarkEnd w:id="30"/>
    <w:bookmarkStart w:id="31" w:name="cómo-se-cruzan-los-datos"/>
    <w:p>
      <w:pPr>
        <w:pStyle w:val="Heading2"/>
      </w:pPr>
      <w:r>
        <w:t xml:space="preserve">3.2 Cómo se cruzan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común en UTC.</w:t>
      </w:r>
      <w:r>
        <w:t xml:space="preserve"> </w:t>
      </w:r>
      <w:r>
        <w:t xml:space="preserve">Las lecturas ya vienen en UTC (48 por día incluso en cambio de hora). La demanda nacional viene en</w:t>
      </w:r>
      <w:r>
        <w:t xml:space="preserve"> </w:t>
      </w:r>
      <w:r>
        <w:rPr>
          <w:i/>
          <w:iCs/>
        </w:rPr>
        <w:t xml:space="preserve">settlement periods</w:t>
      </w:r>
      <w:r>
        <w:t xml:space="preserve"> </w:t>
      </w:r>
      <w:r>
        <w:t xml:space="preserve">de hora local de Londres (46 o 50 en cambio de hora); se convierte con</w:t>
      </w:r>
      <w:r>
        <w:t xml:space="preserve"> </w:t>
      </w:r>
      <w:r>
        <w:rPr>
          <w:rStyle w:val="VerbatimChar"/>
        </w:rPr>
        <w:t xml:space="preserve">ts_utc = medianoche local en UTC + (periodo − 1) × 30 min</w:t>
      </w:r>
      <w:r>
        <w:t xml:space="preserve">. La hora punta y los perfiles se calculan en hora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 estrella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dim_hogar</w:t>
      </w:r>
      <w:r>
        <w:t xml:space="preserve"> </w:t>
      </w:r>
      <w:r>
        <w:t xml:space="preserve">(tarifa, Acorn, zona y transformador),</w:t>
      </w:r>
      <w:r>
        <w:t xml:space="preserve"> </w:t>
      </w:r>
      <w:r>
        <w:rPr>
          <w:rStyle w:val="VerbatimChar"/>
        </w:rPr>
        <w:t xml:space="preserve">dim_fecha</w:t>
      </w:r>
      <w:r>
        <w:t xml:space="preserve"> </w:t>
      </w:r>
      <w:r>
        <w:t xml:space="preserve">(feriado, tipo de día, estación) y</w:t>
      </w:r>
      <w:r>
        <w:t xml:space="preserve"> </w:t>
      </w:r>
      <w:r>
        <w:rPr>
          <w:rStyle w:val="VerbatimChar"/>
        </w:rPr>
        <w:t xml:space="preserve">dim_acorn</w:t>
      </w:r>
      <w:r>
        <w:t xml:space="preserve">, más hechos de consumo a 30 min y diario, carga por transformador y zona, demanda nacional y clima. Detalle en</w:t>
      </w:r>
      <w:r>
        <w:t xml:space="preserve"> </w:t>
      </w:r>
      <w:r>
        <w:rPr>
          <w:rStyle w:val="VerbatimChar"/>
        </w:rPr>
        <w:t xml:space="preserve">docs/02_modelo_datos.md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Geografía sintética declarada.</w:t>
      </w:r>
      <w:r>
        <w:t xml:space="preserve"> </w:t>
      </w:r>
      <w:r>
        <w:t xml:space="preserve">El dataset no trae ubicación, así que se asignan 8 zonas de concesión y 112 transformadores con un hash determinístico del medidor.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Calidad desde el origen.</w:t>
      </w:r>
      <w:r>
        <w:t xml:space="preserve"> </w:t>
      </w:r>
      <w:r>
        <w:t xml:space="preserve">Lecturas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fuera de la grilla de 30 min y duplicadas se marcan en silver;</w:t>
      </w:r>
      <w:r>
        <w:t xml:space="preserve"> </w:t>
      </w:r>
      <w:r>
        <w:rPr>
          <w:rStyle w:val="VerbatimChar"/>
        </w:rPr>
        <w:t xml:space="preserve">dq_medidor</w:t>
      </w:r>
      <w:r>
        <w:t xml:space="preserve"> </w:t>
      </w:r>
      <w:r>
        <w:t xml:space="preserve">diagnostica a cada medidor.</w:t>
      </w:r>
    </w:p>
    <w:bookmarkEnd w:id="31"/>
    <w:bookmarkStart w:id="32" w:name="evidencia-del-prototipo"/>
    <w:p>
      <w:pPr>
        <w:pStyle w:val="Heading2"/>
      </w:pPr>
      <w:r>
        <w:t xml:space="preserve">3.3 Evidencia del prototipo</w:t>
      </w:r>
    </w:p>
    <w:p>
      <w:pPr>
        <w:pStyle w:val="Compact"/>
        <w:numPr>
          <w:ilvl w:val="0"/>
          <w:numId w:val="1002"/>
        </w:numPr>
      </w:pPr>
      <w:r>
        <w:t xml:space="preserve">167,811,461 lecturas en gold; 3,510,403 medidor-día coinciden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el agregado diario publicado en Kaggle (35.54 GWh en ambos lados).</w:t>
      </w:r>
    </w:p>
    <w:p>
      <w:pPr>
        <w:pStyle w:val="Compact"/>
        <w:numPr>
          <w:ilvl w:val="0"/>
          <w:numId w:val="1002"/>
        </w:numPr>
      </w:pPr>
      <w:r>
        <w:t xml:space="preserve">Diagnóstico de 5,561 medidores: 5,068 sin problemas, 240 con huecos frecuentes, 232 con más de 24 h seguidas en cero y 21 con cobertura menor al 90 %.</w:t>
      </w:r>
    </w:p>
    <w:bookmarkEnd w:id="32"/>
    <w:bookmarkEnd w:id="33"/>
    <w:bookmarkStart w:id="36" w:name="definición-de-ingesta-y-almacenamiento"/>
    <w:p>
      <w:pPr>
        <w:pStyle w:val="Heading1"/>
      </w:pPr>
      <w:r>
        <w:t xml:space="preserve">4. Definición de ingesta y almacenamiento</w:t>
      </w:r>
    </w:p>
    <w:bookmarkStart w:id="34" w:name="ingesta"/>
    <w:p>
      <w:pPr>
        <w:pStyle w:val="Heading2"/>
      </w:pPr>
      <w:r>
        <w:t xml:space="preserve">4.1 Ingesta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Flujo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Lecturas, demanda de red, eventos de tarifa</w:t>
            </w:r>
          </w:p>
        </w:tc>
        <w:tc>
          <w:tcPr/>
          <w:p>
            <w:pPr>
              <w:pStyle w:val="Compact"/>
            </w:pPr>
            <w:r>
              <w:t xml:space="preserve">Kafka, tópicos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grid.demand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tariff.events</w:t>
            </w:r>
            <w:r>
              <w:t xml:space="preserve">; clave = medidor o zona</w:t>
            </w:r>
          </w:p>
        </w:tc>
        <w:tc>
          <w:tcPr/>
          <w:p>
            <w:pPr>
              <w:pStyle w:val="Compact"/>
            </w:pPr>
            <w:r>
              <w:t xml:space="preserve">Orden por medidor, reproceso (</w:t>
            </w:r>
            <w:r>
              <w:rPr>
                <w:i/>
                <w:iCs/>
              </w:rPr>
              <w:t xml:space="preserve">replay</w:t>
            </w:r>
            <w:r>
              <w:t xml:space="preserve">) y retención de 7 días; API abierta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raw</w:t>
            </w:r>
          </w:p>
        </w:tc>
        <w:tc>
          <w:tcPr/>
          <w:p>
            <w:pPr>
              <w:pStyle w:val="Compact"/>
            </w:pPr>
            <w:r>
              <w:t xml:space="preserve">Kafka Connect, sink a GCS cada pocos minutos</w:t>
            </w:r>
          </w:p>
        </w:tc>
        <w:tc>
          <w:tcPr/>
          <w:p>
            <w:pPr>
              <w:pStyle w:val="Compact"/>
            </w:pPr>
            <w:r>
              <w:t xml:space="preserve">Copia inmutable para reprocesar sin depender del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Clima, maestros, calendario</w:t>
            </w:r>
          </w:p>
        </w:tc>
        <w:tc>
          <w:tcPr/>
          <w:p>
            <w:pPr>
              <w:pStyle w:val="Compact"/>
            </w:pPr>
            <w:r>
              <w:t xml:space="preserve">Cargas batch programadas por Airflow</w:t>
            </w:r>
          </w:p>
        </w:tc>
        <w:tc>
          <w:tcPr/>
          <w:p>
            <w:pPr>
              <w:pStyle w:val="Compact"/>
            </w:pPr>
            <w:r>
              <w:t xml:space="preserve">Cambian poco; no justifican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público</w:t>
            </w:r>
          </w:p>
        </w:tc>
        <w:tc>
          <w:tcPr/>
          <w:p>
            <w:pPr>
              <w:pStyle w:val="Compact"/>
            </w:pPr>
            <w:r>
              <w:t xml:space="preserve">Consulta federada a</w:t>
            </w:r>
            <w:r>
              <w:t xml:space="preserve"> </w:t>
            </w:r>
            <w:r>
              <w:rPr>
                <w:rStyle w:val="VerbatimChar"/>
              </w:rPr>
              <w:t xml:space="preserve">bigquery-public-data.noaa_gsod</w:t>
            </w:r>
          </w:p>
        </w:tc>
        <w:tc>
          <w:tcPr/>
          <w:p>
            <w:pPr>
              <w:pStyle w:val="Compact"/>
            </w:pPr>
            <w:r>
              <w:t xml:space="preserve">Cero ingesta: el dato ya está en el warehouse</w:t>
            </w:r>
          </w:p>
        </w:tc>
      </w:tr>
    </w:tbl>
    <w:bookmarkEnd w:id="34"/>
    <w:bookmarkStart w:id="35" w:name="almacenamiento-según-volumen-y-velocidad"/>
    <w:p>
      <w:pPr>
        <w:pStyle w:val="Heading2"/>
      </w:pPr>
      <w:r>
        <w:t xml:space="preserve">4.2 Almacenamiento según volumen y velocidad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Por qué 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Lakehouse GCS (Parquet)</w:t>
            </w:r>
          </w:p>
        </w:tc>
        <w:tc>
          <w:tcPr/>
          <w:p>
            <w:pPr>
              <w:pStyle w:val="Compact"/>
            </w:pPr>
            <w:r>
              <w:t xml:space="preserve">Todo el histórico en raw, silver y gold</w:t>
            </w:r>
          </w:p>
        </w:tc>
        <w:tc>
          <w:tcPr/>
          <w:p>
            <w:pPr>
              <w:pStyle w:val="Compact"/>
            </w:pPr>
            <w:r>
              <w:t xml:space="preserve">US$0.02/GB-mes; formato abierto. En el prototipo, 7.3 GB de CSV quedan en 0.9 GB de Parquet (5.6 bytes por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Modelo estrella;</w:t>
            </w:r>
            <w:r>
              <w:t xml:space="preserve"> </w:t>
            </w:r>
            <w:r>
              <w:rPr>
                <w:rStyle w:val="VerbatimChar"/>
              </w:rPr>
              <w:t xml:space="preserve">fact_consumo_30min</w:t>
            </w:r>
            <w:r>
              <w:t xml:space="preserve"> </w:t>
            </w:r>
            <w:r>
              <w:t xml:space="preserve">particionada por día y clusterizada por medidor; 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SQL serverless para OLAP y ML; la tabla anidada lee 48× menos bytes en análisis por 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Últimos 7 días por medidor, clave</w:t>
            </w:r>
            <w:r>
              <w:t xml:space="preserve"> </w:t>
            </w:r>
            <w:r>
              <w:rPr>
                <w:rStyle w:val="VerbatimChar"/>
              </w:rPr>
              <w:t xml:space="preserve">medidor#ts</w:t>
            </w:r>
            <w:r>
              <w:t xml:space="preserve"> </w:t>
            </w:r>
            <w:r>
              <w:t xml:space="preserve">invertido</w:t>
            </w:r>
          </w:p>
        </w:tc>
        <w:tc>
          <w:tcPr/>
          <w:p>
            <w:pPr>
              <w:pStyle w:val="Compact"/>
            </w:pPr>
            <w:r>
              <w:t xml:space="preserve">Lecturas de milisegundos para 9 M usuarios de la app; BigQuery no está hecho para consultas puntuales masivas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Log de eventos de 7 días</w:t>
            </w:r>
          </w:p>
        </w:tc>
        <w:tc>
          <w:tcPr/>
          <w:p>
            <w:pPr>
              <w:pStyle w:val="Compact"/>
            </w:pPr>
            <w:r>
              <w:t xml:space="preserve">Buffer ante picos y caídas; permite reprocesar</w:t>
            </w:r>
          </w:p>
        </w:tc>
      </w:tr>
    </w:tbl>
    <w:bookmarkEnd w:id="35"/>
    <w:bookmarkEnd w:id="36"/>
    <w:bookmarkStart w:id="37" w:name="justificación-del-stack-tecnológico"/>
    <w:p>
      <w:pPr>
        <w:pStyle w:val="Heading1"/>
      </w:pPr>
      <w:r>
        <w:t xml:space="preserve">5. Justificación del stack tecnológico</w:t>
      </w:r>
    </w:p>
    <w:p>
      <w:pPr>
        <w:pStyle w:val="FirstParagraph"/>
      </w:pPr>
      <w:r>
        <w:t xml:space="preserve">Criterios: (1) APIs de código abierto exigidas por la RFP de Lumina, para evitar dependencia del proveedor; (2) servicios gestionados de GCP vistos en clase cuando quitan operación sin costo excesivo; (3) pago por uso para el batch, que es esporádico.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Elegido</w:t>
            </w:r>
          </w:p>
        </w:tc>
        <w:tc>
          <w:tcPr/>
          <w:p>
            <w:pPr>
              <w:pStyle w:val="Compact"/>
            </w:pPr>
            <w:r>
              <w:t xml:space="preserve">Alternativas evaluadas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Pub/Sub</w:t>
            </w:r>
          </w:p>
        </w:tc>
        <w:tc>
          <w:tcPr/>
          <w:p>
            <w:pPr>
              <w:pStyle w:val="Compact"/>
            </w:pPr>
            <w:r>
              <w:t xml:space="preserve">Pub/Sub es más simple, pero propietario; Kafka da orden por partición,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y la API abierta que pide la RFP, ahora sin operar brokers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Apache Spark (streaming y batch)</w:t>
            </w:r>
          </w:p>
        </w:tc>
        <w:tc>
          <w:tcPr/>
          <w:p>
            <w:pPr>
              <w:pStyle w:val="Compact"/>
            </w:pPr>
            <w:r>
              <w:t xml:space="preserve">Dataflow (Apache Beam)</w:t>
            </w:r>
          </w:p>
        </w:tc>
        <w:tc>
          <w:tcPr/>
          <w:p>
            <w:pPr>
              <w:pStyle w:val="Compact"/>
            </w:pPr>
            <w:r>
              <w:t xml:space="preserve">Un solo motor y lenguaje para ambos caminos; Spark corre en cualquier nube; Dataflow ata el runner a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</w:t>
            </w:r>
          </w:p>
        </w:tc>
        <w:tc>
          <w:tcPr/>
          <w:p>
            <w:pPr>
              <w:pStyle w:val="Compact"/>
            </w:pPr>
            <w:r>
              <w:t xml:space="preserve">Clúster Dataproc permanente</w:t>
            </w:r>
          </w:p>
        </w:tc>
        <w:tc>
          <w:tcPr/>
          <w:p>
            <w:pPr>
              <w:pStyle w:val="Compact"/>
            </w:pPr>
            <w:r>
              <w:t xml:space="preserve">Se paga solo mientras corre: el histórico completo costó US$0.65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Bigtable, Spanner, Cloud SQL</w:t>
            </w:r>
          </w:p>
        </w:tc>
        <w:tc>
          <w:tcPr/>
          <w:p>
            <w:pPr>
              <w:pStyle w:val="Compact"/>
            </w:pPr>
            <w:r>
              <w:t xml:space="preserve">Columnar y serverless, con particiones, clustering,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 </w:t>
            </w:r>
            <w:r>
              <w:t xml:space="preserve">y BQML; 1 TB de consultas gratis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por medidor</w:t>
            </w:r>
          </w:p>
        </w:tc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Memorystore, Cloud SQL</w:t>
            </w:r>
          </w:p>
        </w:tc>
        <w:tc>
          <w:tcPr/>
          <w:p>
            <w:pPr>
              <w:pStyle w:val="Compact"/>
            </w:pPr>
            <w:r>
              <w:t xml:space="preserve">Escala lineal por nodo y latencia de milisegundos para series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Apache Airflow (Composer 3 en producción, VM en el taller)</w:t>
            </w:r>
          </w:p>
        </w:tc>
        <w:tc>
          <w:tcPr/>
          <w:p>
            <w:pPr>
              <w:pStyle w:val="Compact"/>
            </w:pPr>
            <w:r>
              <w:t xml:space="preserve">Cloud Workflows, Cloud Scheduler</w:t>
            </w:r>
          </w:p>
        </w:tc>
        <w:tc>
          <w:tcPr/>
          <w:p>
            <w:pPr>
              <w:pStyle w:val="Compact"/>
            </w:pPr>
            <w:r>
              <w:t xml:space="preserve">Estándar abierto; los mismos DAGs se mueven entre VM y Composer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Parquet (Iceberg como evolución)</w:t>
            </w:r>
          </w:p>
        </w:tc>
        <w:tc>
          <w:tcPr/>
          <w:p>
            <w:pPr>
              <w:pStyle w:val="Compact"/>
            </w:pPr>
            <w:r>
              <w:t xml:space="preserve">CSV, Avro</w:t>
            </w:r>
          </w:p>
        </w:tc>
        <w:tc>
          <w:tcPr/>
          <w:p>
            <w:pPr>
              <w:pStyle w:val="Compact"/>
            </w:pPr>
            <w:r>
              <w:t xml:space="preserve">Columnar y comprimido; lo leen Spark, BigQuery y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+ Looker Studio</w:t>
            </w:r>
          </w:p>
        </w:tc>
        <w:tc>
          <w:tcPr/>
          <w:p>
            <w:pPr>
              <w:pStyle w:val="Compact"/>
            </w:pPr>
            <w:r>
              <w:t xml:space="preserve">GKE, App Engine, Looker</w:t>
            </w:r>
          </w:p>
        </w:tc>
        <w:tc>
          <w:tcPr/>
          <w:p>
            <w:pPr>
              <w:pStyle w:val="Compact"/>
            </w:pPr>
            <w:r>
              <w:t xml:space="preserve">Escala a cero y sube con la demanda; Looker Studio es gratuito</w:t>
            </w:r>
          </w:p>
        </w:tc>
      </w:tr>
    </w:tbl>
    <w:bookmarkEnd w:id="37"/>
    <w:bookmarkStart w:id="41" w:name="escalabilidad-y-performance"/>
    <w:p>
      <w:pPr>
        <w:pStyle w:val="Heading1"/>
      </w:pPr>
      <w:r>
        <w:t xml:space="preserve">6. Escalabilidad y performance</w:t>
      </w:r>
    </w:p>
    <w:bookmarkStart w:id="38" w:name="modelo-de-carga"/>
    <w:p>
      <w:pPr>
        <w:pStyle w:val="Heading2"/>
      </w:pPr>
      <w:r>
        <w:t xml:space="preserve">6.1 Modelo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Base (30 min)</w:t>
            </w:r>
          </w:p>
        </w:tc>
        <w:tc>
          <w:tcPr/>
          <w:p>
            <w:pPr>
              <w:pStyle w:val="Compact"/>
            </w:pPr>
            <w:r>
              <w:t xml:space="preserve">Crecimiento (1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</w:t>
            </w:r>
          </w:p>
        </w:tc>
        <w:tc>
          <w:tcPr/>
          <w:p>
            <w:pPr>
              <w:pStyle w:val="Compact"/>
            </w:pPr>
            <w:r>
              <w:t xml:space="preserve">8.0 M (89 % de 9 M clientes)</w:t>
            </w:r>
          </w:p>
        </w:tc>
        <w:tc>
          <w:tcPr/>
          <w:p>
            <w:pPr>
              <w:pStyle w:val="Compact"/>
            </w:pPr>
            <w:r>
              <w:t xml:space="preserve">8.0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por segundo, promedio</w:t>
            </w:r>
          </w:p>
        </w:tc>
        <w:tc>
          <w:tcPr/>
          <w:p>
            <w:pPr>
              <w:pStyle w:val="Compact"/>
            </w:pPr>
            <w:r>
              <w:t xml:space="preserve">4.4 k</w:t>
            </w:r>
          </w:p>
        </w:tc>
        <w:tc>
          <w:tcPr/>
          <w:p>
            <w:pPr>
              <w:pStyle w:val="Compact"/>
            </w:pPr>
            <w:r>
              <w:t xml:space="preserve">133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si todos los medidores envían en el mismo minuto</w:t>
            </w:r>
          </w:p>
        </w:tc>
        <w:tc>
          <w:tcPr/>
          <w:p>
            <w:pPr>
              <w:pStyle w:val="Compact"/>
            </w:pPr>
            <w:r>
              <w:t xml:space="preserve">133 k/s (≈ 13 MB/s)</w:t>
            </w:r>
          </w:p>
        </w:tc>
        <w:tc>
          <w:tcPr/>
          <w:p>
            <w:pPr>
              <w:pStyle w:val="Compact"/>
            </w:pPr>
            <w:r>
              <w:t xml:space="preserve">1.3 M/s (≈ 134 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Volumen anual en el lake (raw + silver + gold)</w:t>
            </w:r>
          </w:p>
        </w:tc>
        <w:tc>
          <w:tcPr/>
          <w:p>
            <w:pPr>
              <w:pStyle w:val="Compact"/>
            </w:pPr>
            <w:r>
              <w:t xml:space="preserve">3.7 TB</w:t>
            </w:r>
          </w:p>
        </w:tc>
        <w:tc>
          <w:tcPr/>
          <w:p>
            <w:pPr>
              <w:pStyle w:val="Compact"/>
            </w:pPr>
            <w:r>
              <w:t xml:space="preserve">110 TB</w:t>
            </w:r>
          </w:p>
        </w:tc>
      </w:tr>
    </w:tbl>
    <w:bookmarkEnd w:id="38"/>
    <w:bookmarkStart w:id="39" w:name="el-black-friday-de-una-red-eléctrica"/>
    <w:p>
      <w:pPr>
        <w:pStyle w:val="Heading2"/>
      </w:pPr>
      <w:r>
        <w:t xml:space="preserve">6.2 El</w:t>
      </w:r>
      <w:r>
        <w:t xml:space="preserve"> </w:t>
      </w:r>
      <w:r>
        <w:t xml:space="preserve">“Black Friday”</w:t>
      </w:r>
      <w:r>
        <w:t xml:space="preserve"> </w:t>
      </w:r>
      <w:r>
        <w:t xml:space="preserve">de una red eléctrica</w:t>
      </w:r>
    </w:p>
    <w:p>
      <w:pPr>
        <w:pStyle w:val="FirstParagraph"/>
      </w:pPr>
      <w:r>
        <w:t xml:space="preserve">En retail el pico es de transacciones. En una red, el</w:t>
      </w:r>
      <w:r>
        <w:t xml:space="preserve"> </w:t>
      </w:r>
      <w:r>
        <w:rPr>
          <w:b/>
          <w:bCs/>
        </w:rPr>
        <w:t xml:space="preserve">número de lecturas no sube</w:t>
      </w:r>
      <w:r>
        <w:t xml:space="preserve"> </w:t>
      </w:r>
      <w:r>
        <w:t xml:space="preserve">(depende de cuántos medidores hay y cada cuánto leen). Lo que sube en una ola de frío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carga eléctrica.</w:t>
      </w:r>
      <w:r>
        <w:t xml:space="preserve"> </w:t>
      </w:r>
      <w:r>
        <w:t xml:space="preserve">En los datos del caso la hora punta supera al promedio diario en 39 % (el máximo de media hora, en 54 %), y en el 5 % de días más fríos cada hogar consume 33 % más. Esto multiplica las</w:t>
      </w:r>
      <w:r>
        <w:t xml:space="preserve"> </w:t>
      </w:r>
      <w:r>
        <w:rPr>
          <w:b/>
          <w:bCs/>
        </w:rPr>
        <w:t xml:space="preserve">alertas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eventos de respuesta a la demanda</w:t>
      </w:r>
      <w:r>
        <w:t xml:space="preserve"> </w:t>
      </w:r>
      <w:r>
        <w:t xml:space="preserve">que el streaming debe emitir.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consultas de la app.</w:t>
      </w:r>
      <w:r>
        <w:t xml:space="preserve"> </w:t>
      </w:r>
      <w:r>
        <w:t xml:space="preserve">Los clientes revisan su consumo y su costo; se asume hasta 3× el tráfico normal.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ráfagas de reconexión.</w:t>
      </w:r>
      <w:r>
        <w:t xml:space="preserve"> </w:t>
      </w:r>
      <w:r>
        <w:t xml:space="preserve">Tras un corte, los concentradores reenvían de golpe las horas acumuladas.</w:t>
      </w:r>
    </w:p>
    <w:bookmarkEnd w:id="39"/>
    <w:bookmarkStart w:id="40" w:name="cómo-escala-cada-capa"/>
    <w:p>
      <w:pPr>
        <w:pStyle w:val="Heading2"/>
      </w:pPr>
      <w:r>
        <w:t xml:space="preserve">6.3 Cómo escala cada capa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Frente al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Particiones de Kafka por medidor; más vCPU por cada ~15 MB/s</w:t>
            </w:r>
          </w:p>
        </w:tc>
        <w:tc>
          <w:tcPr/>
          <w:p>
            <w:pPr>
              <w:pStyle w:val="Compact"/>
            </w:pPr>
            <w:r>
              <w:t xml:space="preserve">Kafka absorbe ráfagas y reenvíos; los consumidores se ponen al día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streaming</w:t>
            </w:r>
          </w:p>
        </w:tc>
        <w:tc>
          <w:tcPr/>
          <w:p>
            <w:pPr>
              <w:pStyle w:val="Compact"/>
            </w:pPr>
            <w:r>
              <w:t xml:space="preserve">Ejecutores de Spark con asignación dinámica;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para datos tardíos</w:t>
            </w:r>
          </w:p>
        </w:tc>
        <w:tc>
          <w:tcPr/>
          <w:p>
            <w:pPr>
              <w:pStyle w:val="Compact"/>
            </w:pPr>
            <w:r>
              <w:t xml:space="preserve">Un nodo de 4 vCPU adicional por cada ~20 MB/s de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batch</w:t>
            </w:r>
          </w:p>
        </w:tc>
        <w:tc>
          <w:tcPr/>
          <w:p>
            <w:pPr>
              <w:pStyle w:val="Compact"/>
            </w:pPr>
            <w:r>
              <w:t xml:space="preserve">Spark serverless escala ejecutores por job</w:t>
            </w:r>
          </w:p>
        </w:tc>
        <w:tc>
          <w:tcPr/>
          <w:p>
            <w:pPr>
              <w:pStyle w:val="Compact"/>
            </w:pPr>
            <w:r>
              <w:t xml:space="preserve">Medido en el prototipo: ~264 k lecturas/s con 20 DCU; un día de producción (384 M) toma ~25 min con 20 DCU o ~5 min con 100 DCU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particionado y clusterizado; Bigtable agrega nodos en línea</w:t>
            </w:r>
          </w:p>
        </w:tc>
        <w:tc>
          <w:tcPr/>
          <w:p>
            <w:pPr>
              <w:pStyle w:val="Compact"/>
            </w:pPr>
            <w:r>
              <w:t xml:space="preserve">Las consultas leen solo la partición y el medidor pedidos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autoescala por concurrencia; Looker Studio sobre tablas agregadas</w:t>
            </w:r>
          </w:p>
        </w:tc>
        <w:tc>
          <w:tcPr/>
          <w:p>
            <w:pPr>
              <w:pStyle w:val="Compact"/>
            </w:pPr>
            <w:r>
              <w:t xml:space="preserve">3× de tráfico se cubre con más instancias, sin tocar el warehouse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a otras regiones metropolitanas:</w:t>
      </w:r>
      <w:r>
        <w:t xml:space="preserve"> </w:t>
      </w:r>
      <w:r>
        <w:t xml:space="preserve">cada metrópoli es un prefijo de tópicos, un conjunto de particiones y un valor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en las tablas (particiones o datasets separados); el código no cambia.</w:t>
      </w:r>
    </w:p>
    <w:bookmarkEnd w:id="40"/>
    <w:bookmarkEnd w:id="41"/>
    <w:bookmarkStart w:id="48" w:name="Xe588ac3521b1fb8b4cb5e84ace2a581ac766eef"/>
    <w:p>
      <w:pPr>
        <w:pStyle w:val="Heading1"/>
      </w:pPr>
      <w:r>
        <w:t xml:space="preserve">7. Justificación económica y optimización de costos</w:t>
      </w:r>
    </w:p>
    <w:bookmarkStart w:id="44" w:name="X4b9e767322845a47294bc1db8f9c956c5e449e8"/>
    <w:p>
      <w:pPr>
        <w:pStyle w:val="Heading2"/>
      </w:pPr>
      <w:r>
        <w:t xml:space="preserve">7.1 Calculadora de consumo del primer año (producción)</w:t>
      </w:r>
    </w:p>
    <w:p>
      <w:pPr>
        <w:pStyle w:val="FirstParagraph"/>
      </w:pPr>
      <w:r>
        <w:t xml:space="preserve">Supuestos: 8 M medidores, retención de 7 días en Kafka, 10 TiB/mes de consultas OLAP, 30 M requests/mes a la API. El almacenamiento crece linealmente durante el año. El script</w:t>
      </w:r>
      <w:r>
        <w:t xml:space="preserve"> </w:t>
      </w:r>
      <w:r>
        <w:rPr>
          <w:rStyle w:val="VerbatimChar"/>
        </w:rPr>
        <w:t xml:space="preserve">src/costos/calculadora_consumo.py</w:t>
      </w:r>
      <w:r>
        <w:t xml:space="preserve"> </w:t>
      </w:r>
      <w:r>
        <w:t xml:space="preserve">regenera estas tablas al cambiar un supuesto.</w:t>
      </w:r>
    </w:p>
    <w:bookmarkStart w:id="42" w:name="escenario-base-lectura-cada-30-min"/>
    <w:p>
      <w:pPr>
        <w:pStyle w:val="Heading3"/>
      </w:pPr>
      <w:r>
        <w:t xml:space="preserve">7.1.1 Escenario base: lectura cada 30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3 vCPU, RF=3, 7 días; 0.4 MB/s prom., 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3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384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3.7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30 min + 15 % de agregados, crecimiento lineal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2 nodos, 251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29,238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US$0.0010</w:t>
            </w:r>
          </w:p>
        </w:tc>
      </w:tr>
    </w:tbl>
    <w:bookmarkEnd w:id="42"/>
    <w:bookmarkStart w:id="43" w:name="Xa9c18dc3cc4972546d113df84305e90363da2e3"/>
    <w:p>
      <w:pPr>
        <w:pStyle w:val="Heading3"/>
      </w:pPr>
      <w:r>
        <w:t xml:space="preserve">7.1.2 Escenario de crecimiento: lectura cada 1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9 vCPU, RF=3, 7 días; 13.3 MB/s prom., 134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10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11,534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110.3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1 min solo 90 días + agregados 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6 nodos, 7,520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156,994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US$0.0052</w:t>
            </w:r>
          </w:p>
        </w:tc>
      </w:tr>
    </w:tbl>
    <w:bookmarkEnd w:id="43"/>
    <w:bookmarkEnd w:id="44"/>
    <w:bookmarkStart w:id="45" w:name="lectura-de-las-cifras"/>
    <w:p>
      <w:pPr>
        <w:pStyle w:val="Heading2"/>
      </w:pPr>
      <w:r>
        <w:t xml:space="preserve">7.2 Lectura de las cifras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por lectura baja al crecer.</w:t>
      </w:r>
      <w:r>
        <w:t xml:space="preserve"> </w:t>
      </w:r>
      <w:r>
        <w:t xml:space="preserve">Pasar a 1 min multiplica las lecturas por 30 pero el costo por 5.4, porque los componentes fijos (Composer, API, consultas) se reparten entre más datos.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de plataforma es despreciable frente a la energía.</w:t>
      </w:r>
      <w:r>
        <w:t xml:space="preserve"> </w:t>
      </w:r>
      <w:r>
        <w:t xml:space="preserve">US$0.001 por MWh distribuido equivale a alrededor de 0.001 % de un precio mayorista típico de US$80/MWh.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mayor rubro es Bigtable</w:t>
      </w:r>
      <w:r>
        <w:t xml:space="preserve">, por servir 9 M de usuarios con latencia de milisegundos; si la app tolera segundos, puede sustituirse por BigQuery con BI Engine y el total baja ~40 %.</w:t>
      </w:r>
    </w:p>
    <w:bookmarkEnd w:id="45"/>
    <w:bookmarkStart w:id="46" w:name="palancas-de-optimización-aplicadas"/>
    <w:p>
      <w:pPr>
        <w:pStyle w:val="Heading2"/>
      </w:pPr>
      <w:r>
        <w:t xml:space="preserve">7.3 Palancas de optimización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serverless en vez de clúster permanente</w:t>
            </w:r>
          </w:p>
        </w:tc>
        <w:tc>
          <w:tcPr/>
          <w:p>
            <w:pPr>
              <w:pStyle w:val="Compact"/>
            </w:pPr>
            <w:r>
              <w:t xml:space="preserve">Se paga solo durante el job (prototipo: US$0.65 por todo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 en vez de CSV</w:t>
            </w:r>
          </w:p>
        </w:tc>
        <w:tc>
          <w:tcPr/>
          <w:p>
            <w:pPr>
              <w:pStyle w:val="Compact"/>
            </w:pPr>
            <w:r>
              <w:t xml:space="preserve">6× menos almacenamiento y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 por día + clustering por medidor</w:t>
            </w:r>
          </w:p>
        </w:tc>
        <w:tc>
          <w:tcPr/>
          <w:p>
            <w:pPr>
              <w:pStyle w:val="Compact"/>
            </w:pPr>
            <w:r>
              <w:t xml:space="preserve">Las consultas por medidor y rango leen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 </w:t>
            </w:r>
            <w:r>
              <w:t xml:space="preserve">para análisis por medidor-día</w:t>
            </w:r>
          </w:p>
        </w:tc>
        <w:tc>
          <w:tcPr/>
          <w:p>
            <w:pPr>
              <w:pStyle w:val="Compact"/>
            </w:pPr>
            <w:r>
              <w:t xml:space="preserve">48× menos bytes en la consulta por segmento Acorn (4.3 GB → 91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1 min, detalle en BigQuery solo 90 días; histórico en el lake</w:t>
            </w:r>
          </w:p>
        </w:tc>
        <w:tc>
          <w:tcPr/>
          <w:p>
            <w:pPr>
              <w:pStyle w:val="Compact"/>
            </w:pPr>
            <w:r>
              <w:t xml:space="preserve">Evita ~200 TB en el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Ciclo de vida GCS (Nearline/Coldline para raw antiguo) y descuentos por uso comprometido en Kafka y Bigtable</w:t>
            </w:r>
          </w:p>
        </w:tc>
        <w:tc>
          <w:tcPr/>
          <w:p>
            <w:pPr>
              <w:pStyle w:val="Compact"/>
            </w:pPr>
            <w:r>
              <w:t xml:space="preserve">20–50 % en esos rubros (no incluido en la calculadora)</w:t>
            </w:r>
          </w:p>
        </w:tc>
      </w:tr>
    </w:tbl>
    <w:bookmarkEnd w:id="46"/>
    <w:bookmarkStart w:id="47" w:name="valor-para-el-negocio"/>
    <w:p>
      <w:pPr>
        <w:pStyle w:val="Heading2"/>
      </w:pPr>
      <w:r>
        <w:t xml:space="preserve">7.4 Valor para el negocio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Reducción del pico (ilustrativo).</w:t>
      </w:r>
      <w:r>
        <w:t xml:space="preserve"> </w:t>
      </w:r>
      <w:r>
        <w:t xml:space="preserve">Con un consumo medio de 0.43 kW por hogar y la punta 39 % sobre el promedio, la punta agregada es ≈ 4.8 GW. Recortar 5 % evita ≈ 240 MW de compras de emergencia. Con una prima supuesta de US$100/MWh durante 4 h en 90 días de invierno, son ≈ US$8.6 M al año, unas 290 veces el costo de la plataforma.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Tarifa dinámica frente a fija.</w:t>
      </w:r>
      <w:r>
        <w:t xml:space="preserve"> </w:t>
      </w:r>
      <w:r>
        <w:t xml:space="preserve">El ensayo Low Carbon London (2013) usó tres precios dToU (alto, normal y bajo) contra una tarifa plana. La Fase 4 calculará la factura de cada hogar ToU con el calendario de eventos de 2013 y la comparará con lo que habría pagado en tarifa fija. Dato preliminar, sin control por segmento: los hogares ToU consumen 9.50 kWh/día frente a 10.28 de los de tarifa estándar (−7.6 %).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Costo operativo por kWh.</w:t>
      </w:r>
      <w:r>
        <w:t xml:space="preserve"> </w:t>
      </w:r>
      <w:r>
        <w:t xml:space="preserve">Se reportará en Looker Studio como (costo de plataforma + compras de emergencia evitadas) / kWh distribuido, por zona y mes.</w:t>
      </w:r>
    </w:p>
    <w:bookmarkEnd w:id="47"/>
    <w:bookmarkEnd w:id="48"/>
    <w:bookmarkStart w:id="52" w:name="Xd9a7a9e19942aaec592af67dda9c969670bacca"/>
    <w:p>
      <w:pPr>
        <w:pStyle w:val="Heading1"/>
      </w:pPr>
      <w:r>
        <w:t xml:space="preserve">8. Plan de recuperación y alta disponibilidad (DRP/HA)</w:t>
      </w:r>
    </w:p>
    <w:bookmarkStart w:id="49" w:name="objetivos-por-nivel-de-servicio"/>
    <w:p>
      <w:pPr>
        <w:pStyle w:val="Heading2"/>
      </w:pPr>
      <w:r>
        <w:t xml:space="preserve">8.1 Objetivos por nivel de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RPO (datos que se pueden perder)</w:t>
            </w:r>
          </w:p>
        </w:tc>
        <w:tc>
          <w:tcPr/>
          <w:p>
            <w:pPr>
              <w:pStyle w:val="Compact"/>
            </w:pPr>
            <w:r>
              <w:t xml:space="preserve">RTO (tiempo para volver)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 de lecturas</w:t>
            </w:r>
          </w:p>
        </w:tc>
        <w:tc>
          <w:tcPr/>
          <w:p>
            <w:pPr>
              <w:pStyle w:val="Compact"/>
            </w:pPr>
            <w:r>
              <w:t xml:space="preserve">0: el medidor guarda sus lecturas y el concentrador las reenvía</w:t>
            </w:r>
          </w:p>
        </w:tc>
        <w:tc>
          <w:tcPr/>
          <w:p>
            <w:pPr>
              <w:pStyle w:val="Compact"/>
            </w:pPr>
            <w:r>
              <w:t xml:space="preserve">&lt; 1 min ante fallo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y respuesta a la demanda</w:t>
            </w:r>
          </w:p>
        </w:tc>
        <w:tc>
          <w:tcPr/>
          <w:p>
            <w:pPr>
              <w:pStyle w:val="Compact"/>
            </w:pPr>
            <w:r>
              <w:t xml:space="preserve">0 (se reprocesa desde Kafka)</w:t>
            </w:r>
          </w:p>
        </w:tc>
        <w:tc>
          <w:tcPr/>
          <w:p>
            <w:pPr>
              <w:pStyle w:val="Compact"/>
            </w:pPr>
            <w:r>
              <w:t xml:space="preserve">&lt; 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 clientes (consumo en vivo)</w:t>
            </w:r>
          </w:p>
        </w:tc>
        <w:tc>
          <w:tcPr/>
          <w:p>
            <w:pPr>
              <w:pStyle w:val="Compact"/>
            </w:pPr>
            <w:r>
              <w:t xml:space="preserve">≤ 1 min</w:t>
            </w:r>
          </w:p>
        </w:tc>
        <w:tc>
          <w:tcPr/>
          <w:p>
            <w:pPr>
              <w:pStyle w:val="Compact"/>
            </w:pPr>
            <w:r>
              <w:t xml:space="preserve">&lt; 1 min (zona), &lt; 1 h (región)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Informes OLAP y pronóstico D+1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  <w:tc>
          <w:tcPr/>
          <w:p>
            <w:pPr>
              <w:pStyle w:val="Compact"/>
            </w:pPr>
            <w:r>
              <w:t xml:space="preserve">&lt; 4 h</w:t>
            </w:r>
          </w:p>
        </w:tc>
      </w:tr>
    </w:tbl>
    <w:bookmarkEnd w:id="49"/>
    <w:bookmarkStart w:id="50" w:name="componentes-fallas-y-mitigación"/>
    <w:p>
      <w:pPr>
        <w:pStyle w:val="Heading2"/>
      </w:pPr>
      <w:r>
        <w:t xml:space="preserve">8.2 Componentes, fallas y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 o concentrador</w:t>
            </w:r>
          </w:p>
        </w:tc>
        <w:tc>
          <w:tcPr/>
          <w:p>
            <w:pPr>
              <w:pStyle w:val="Compact"/>
            </w:pPr>
            <w:r>
              <w:t xml:space="preserve">Deja de enviar</w:t>
            </w:r>
          </w:p>
        </w:tc>
        <w:tc>
          <w:tcPr/>
          <w:p>
            <w:pPr>
              <w:pStyle w:val="Compact"/>
            </w:pPr>
            <w:r>
              <w:t xml:space="preserve">Spark detecta el silencio por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y estado y emite</w:t>
            </w:r>
            <w:r>
              <w:t xml:space="preserve"> </w:t>
            </w:r>
            <w:r>
              <w:rPr>
                <w:rStyle w:val="VerbatimChar"/>
              </w:rPr>
              <w:t xml:space="preserve">meter.silent</w:t>
            </w:r>
            <w:r>
              <w:t xml:space="preserve">; al reconectar, las lecturas atrasadas se aceptan hasta 72 h y la conciliación nocturna recalcula los agregados;</w:t>
            </w:r>
            <w:r>
              <w:t xml:space="preserve"> </w:t>
            </w:r>
            <w:r>
              <w:rPr>
                <w:rStyle w:val="VerbatimChar"/>
              </w:rPr>
              <w:t xml:space="preserve">dq_medidor</w:t>
            </w:r>
            <w:r>
              <w:t xml:space="preserve"> </w:t>
            </w:r>
            <w:r>
              <w:t xml:space="preserve">marca huecos y rachas de ceros. Nunca se imputa consumo facturable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Caída de un broker o una zona</w:t>
            </w:r>
          </w:p>
        </w:tc>
        <w:tc>
          <w:tcPr/>
          <w:p>
            <w:pPr>
              <w:pStyle w:val="Compact"/>
            </w:pPr>
            <w:r>
              <w:t xml:space="preserve">3 zonas, factor de réplica 3,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 = all</w:t>
            </w:r>
            <w:r>
              <w:t xml:space="preserve">; la conmutación es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Streaming</w:t>
            </w:r>
          </w:p>
        </w:tc>
        <w:tc>
          <w:tcPr/>
          <w:p>
            <w:pPr>
              <w:pStyle w:val="Compact"/>
            </w:pPr>
            <w:r>
              <w:t xml:space="preserve">Caída del job o del nodo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Checkpoints</w:t>
            </w:r>
            <w:r>
              <w:t xml:space="preserve"> </w:t>
            </w:r>
            <w:r>
              <w:t xml:space="preserve">en GCS dual-region; reinicio automático desde el último offset; escritura idempotente a BigQuery (Storage Write API con</w:t>
            </w:r>
            <w:r>
              <w:t xml:space="preserve"> </w:t>
            </w:r>
            <w:r>
              <w:rPr>
                <w:i/>
                <w:iCs/>
              </w:rPr>
              <w:t xml:space="preserve">offsets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GCS</w:t>
            </w:r>
          </w:p>
        </w:tc>
        <w:tc>
          <w:tcPr/>
          <w:p>
            <w:pPr>
              <w:pStyle w:val="Compact"/>
            </w:pPr>
            <w:r>
              <w:t xml:space="preserve">Pérdida regional o borrado</w:t>
            </w:r>
          </w:p>
        </w:tc>
        <w:tc>
          <w:tcPr/>
          <w:p>
            <w:pPr>
              <w:pStyle w:val="Compact"/>
            </w:pPr>
            <w:r>
              <w:t xml:space="preserve">Bucket dual-region (nam4) con replicación turbo (RPO 15 min); versionado y</w:t>
            </w:r>
            <w:r>
              <w:t xml:space="preserve"> </w:t>
            </w:r>
            <w:r>
              <w:rPr>
                <w:i/>
                <w:iCs/>
              </w:rPr>
              <w:t xml:space="preserve">soft delete</w:t>
            </w:r>
            <w:r>
              <w:t xml:space="preserve"> </w:t>
            </w:r>
            <w:r>
              <w:t xml:space="preserve">de 7 días en 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Error humano o corrupción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Time travel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fail-safe</w:t>
            </w:r>
            <w:r>
              <w:t xml:space="preserve"> </w:t>
            </w:r>
            <w:r>
              <w:t xml:space="preserve">de 7 días cada uno; snapshots diarios de gold; réplica de datasets en otra región; reconstrucción total desde el lake (medido: 32 min con 20 DCU)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Caída de zona o región</w:t>
            </w:r>
          </w:p>
        </w:tc>
        <w:tc>
          <w:tcPr/>
          <w:p>
            <w:pPr>
              <w:pStyle w:val="Compact"/>
            </w:pPr>
            <w:r>
              <w:t xml:space="preserve">Dos clústeres replicados con enrutamiento multi-clúster; conmutación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Caída de zona</w:t>
            </w:r>
          </w:p>
        </w:tc>
        <w:tc>
          <w:tcPr/>
          <w:p>
            <w:pPr>
              <w:pStyle w:val="Compact"/>
            </w:pPr>
            <w:r>
              <w:t xml:space="preserve">Servicio regional multizona; en producción, balanceador global con una segunda 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Caída del entorno</w:t>
            </w:r>
          </w:p>
        </w:tc>
        <w:tc>
          <w:tcPr/>
          <w:p>
            <w:pPr>
              <w:pStyle w:val="Compact"/>
            </w:pPr>
            <w:r>
              <w:t xml:space="preserve">DAGs en Git; entorno recreado por infraestructura como código; tareas idempotentes con</w:t>
            </w:r>
            <w:r>
              <w:t xml:space="preserve"> </w:t>
            </w:r>
            <w:r>
              <w:rPr>
                <w:i/>
                <w:iCs/>
              </w:rPr>
              <w:t xml:space="preserve">catchup</w:t>
            </w:r>
          </w:p>
        </w:tc>
      </w:tr>
    </w:tbl>
    <w:bookmarkEnd w:id="50"/>
    <w:bookmarkStart w:id="51" w:name="runbook-resumido-ante-caída-regional"/>
    <w:p>
      <w:pPr>
        <w:pStyle w:val="Heading2"/>
      </w:pPr>
      <w:r>
        <w:t xml:space="preserve">8.3 Runbook resumido ante caída regional</w:t>
      </w:r>
    </w:p>
    <w:p>
      <w:pPr>
        <w:pStyle w:val="Compact"/>
        <w:numPr>
          <w:ilvl w:val="0"/>
          <w:numId w:val="1006"/>
        </w:numPr>
      </w:pPr>
      <w:r>
        <w:t xml:space="preserve">Activar la región secundaria: Bigtable conmuta solo; Cloud Run detrás del balanceador global.</w:t>
      </w:r>
    </w:p>
    <w:p>
      <w:pPr>
        <w:pStyle w:val="Compact"/>
        <w:numPr>
          <w:ilvl w:val="0"/>
          <w:numId w:val="1006"/>
        </w:numPr>
      </w:pPr>
      <w:r>
        <w:t xml:space="preserve">Los concentradores acumulan; Kafka secundario (MirrorMaker 2) recibe el tráfico.</w:t>
      </w:r>
    </w:p>
    <w:p>
      <w:pPr>
        <w:pStyle w:val="Compact"/>
        <w:numPr>
          <w:ilvl w:val="0"/>
          <w:numId w:val="1006"/>
        </w:numPr>
      </w:pPr>
      <w:r>
        <w:t xml:space="preserve">Spark Streaming arranca en la región secundaria desde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dual-region.</w:t>
      </w:r>
    </w:p>
    <w:p>
      <w:pPr>
        <w:pStyle w:val="Compact"/>
        <w:numPr>
          <w:ilvl w:val="0"/>
          <w:numId w:val="1006"/>
        </w:numPr>
      </w:pPr>
      <w:r>
        <w:t xml:space="preserve">Reprocesar con Spark batch el intervalo afectado desde el lake; validar conteos contra la fuente, como en el prototipo.</w:t>
      </w:r>
    </w:p>
    <w:p>
      <w:pPr>
        <w:pStyle w:val="Compact"/>
        <w:numPr>
          <w:ilvl w:val="0"/>
          <w:numId w:val="1006"/>
        </w:numPr>
      </w:pPr>
      <w:r>
        <w:t xml:space="preserve">Postmortem y prueba de recuperación trimestral (en el taller: matar el job de streaming y verificar que retoma desde el</w:t>
      </w:r>
      <w:r>
        <w:t xml:space="preserve"> </w:t>
      </w:r>
      <w:r>
        <w:rPr>
          <w:i/>
          <w:iCs/>
        </w:rPr>
        <w:t xml:space="preserve">checkpoint</w:t>
      </w:r>
      <w:r>
        <w:t xml:space="preserve">).</w:t>
      </w:r>
    </w:p>
    <w:bookmarkEnd w:id="51"/>
    <w:bookmarkEnd w:id="52"/>
    <w:bookmarkStart w:id="53" w:name="seguridad-y-gobernanza"/>
    <w:p>
      <w:pPr>
        <w:pStyle w:val="Heading1"/>
      </w:pPr>
      <w:r>
        <w:t xml:space="preserve">9. Seguridad y gobernanza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Privacidad.</w:t>
      </w:r>
      <w:r>
        <w:t xml:space="preserve"> </w:t>
      </w:r>
      <w:r>
        <w:t xml:space="preserve">El consumo revela hábitos del hogar: el identificador del medidor va seudonimizado; las vistas OLAP solo publican agregados de al menos 10 hogares; las columnas sensibles llevan</w:t>
      </w:r>
      <w:r>
        <w:t xml:space="preserve"> </w:t>
      </w:r>
      <w:r>
        <w:rPr>
          <w:i/>
          <w:iCs/>
        </w:rPr>
        <w:t xml:space="preserve">policy tags</w:t>
      </w:r>
      <w:r>
        <w:t xml:space="preserve"> </w:t>
      </w:r>
      <w:r>
        <w:t xml:space="preserve">de BigQuery.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Mínimo privilegio.</w:t>
      </w:r>
      <w:r>
        <w:t xml:space="preserve"> </w:t>
      </w:r>
      <w:r>
        <w:t xml:space="preserve">Una cuenta de servicio por función (en el prototipo,</w:t>
      </w:r>
      <w:r>
        <w:t xml:space="preserve"> </w:t>
      </w:r>
      <w:r>
        <w:rPr>
          <w:rStyle w:val="VerbatimChar"/>
        </w:rPr>
        <w:t xml:space="preserve">lumina-ingest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lumina-spark</w:t>
      </w:r>
      <w:r>
        <w:t xml:space="preserve">); credenciales en Secret Manager y nunca en el repositorio.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 y linaje.</w:t>
      </w:r>
      <w:r>
        <w:t xml:space="preserve"> </w:t>
      </w:r>
      <w:r>
        <w:t xml:space="preserve">Capas raw, silver y gold separadas; reglas de calidad versionadas; auditoría con Cloud Audit Logs.</w:t>
      </w:r>
    </w:p>
    <w:bookmarkEnd w:id="53"/>
    <w:bookmarkStart w:id="54" w:name="supuestos-y-fuera-de-alcance"/>
    <w:p>
      <w:pPr>
        <w:pStyle w:val="Heading1"/>
      </w:pPr>
      <w:r>
        <w:t xml:space="preserve">10. Supuestos y fuera de alcance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89 % de 9 M clientes con medidor; zonas y transformadores sintéticos;</w:t>
      </w:r>
      <w:r>
        <w:t xml:space="preserve"> </w:t>
      </w:r>
      <w:r>
        <w:rPr>
          <w:rStyle w:val="VerbatimChar"/>
        </w:rPr>
        <w:t xml:space="preserve">tstp</w:t>
      </w:r>
      <w:r>
        <w:t xml:space="preserve"> </w:t>
      </w:r>
      <w:r>
        <w:t xml:space="preserve">marca el inicio del intervalo; hora DarkSky en UTC; clima observado como sustituto del pronóstico; precios de lista sin descuentos.</w:t>
      </w:r>
    </w:p>
    <w:p>
      <w:pPr>
        <w:pStyle w:val="BodyText"/>
      </w:pPr>
      <w:r>
        <w:rPr>
          <w:b/>
          <w:bCs/>
        </w:rPr>
        <w:t xml:space="preserve">Fuera de alcance:</w:t>
      </w:r>
      <w:r>
        <w:t xml:space="preserve"> </w:t>
      </w:r>
      <w:r>
        <w:t xml:space="preserve">facturación real, integración con los sistemas de las 12 distribuidoras, control físico de termostatos y baterías, y el front-end (adjudicado en otra RFP).</w:t>
      </w:r>
    </w:p>
    <w:bookmarkEnd w:id="54"/>
    <w:bookmarkStart w:id="55" w:name="próximos-pasos"/>
    <w:p>
      <w:pPr>
        <w:pStyle w:val="Heading1"/>
      </w:pPr>
      <w:r>
        <w:t xml:space="preserve">11.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de noviembre de 2026</w:t>
            </w:r>
          </w:p>
        </w:tc>
        <w:tc>
          <w:tcPr/>
          <w:p>
            <w:pPr>
              <w:pStyle w:val="Compact"/>
            </w:pPr>
            <w:r>
              <w:t xml:space="preserve">Streaming: replay → Kafka → Spark Structured Streaming (picos, anomalías, medidores en silencio); DAGs de Airflow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20–21 de noviembre de 2026</w:t>
            </w:r>
          </w:p>
        </w:tc>
        <w:tc>
          <w:tcPr/>
          <w:p>
            <w:pPr>
              <w:pStyle w:val="Compact"/>
            </w:pPr>
            <w:r>
              <w:t xml:space="preserve">Pronóstico D+1, vistas OLAP, API en Cloud Run, demo end-to-end, slides con KPIs y calculadora</w:t>
            </w:r>
          </w:p>
        </w:tc>
      </w:tr>
    </w:tbl>
    <w:bookmarkEnd w:id="55"/>
    <w:bookmarkStart w:id="61" w:name="referencias"/>
    <w:p>
      <w:pPr>
        <w:pStyle w:val="Heading1"/>
      </w:pPr>
      <w:r>
        <w:t xml:space="preserve">12. Referencias</w:t>
      </w:r>
    </w:p>
    <w:p>
      <w:pPr>
        <w:pStyle w:val="Compact"/>
        <w:numPr>
          <w:ilvl w:val="0"/>
          <w:numId w:val="1008"/>
        </w:numPr>
      </w:pPr>
      <w:r>
        <w:t xml:space="preserve">Datasets: Smart Meters in London (Kaggle, jeanmidev); Electricity consumption UK 2009–2024 (Kaggle, albertovidalrod); NOAA GSOD (BigQuery público).</w:t>
      </w:r>
    </w:p>
    <w:p>
      <w:pPr>
        <w:pStyle w:val="Compact"/>
        <w:numPr>
          <w:ilvl w:val="0"/>
          <w:numId w:val="1008"/>
        </w:numPr>
      </w:pPr>
      <w:r>
        <w:t xml:space="preserve">Precios:</w:t>
      </w:r>
      <w:r>
        <w:t xml:space="preserve"> </w:t>
      </w:r>
      <w:hyperlink r:id="rId56">
        <w:r>
          <w:rPr>
            <w:rStyle w:val="Hyperlink"/>
          </w:rPr>
          <w:t xml:space="preserve">Managed Service for Apache Spark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Managed Service for Apache Kafka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Bigtable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Managed Service for Apache Airflow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BigQuery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Código, modelo de datos y bitácora de costos: repositorio</w:t>
      </w:r>
      <w:r>
        <w:t xml:space="preserve"> </w:t>
      </w:r>
      <w:r>
        <w:rPr>
          <w:rStyle w:val="VerbatimChar"/>
        </w:rPr>
        <w:t xml:space="preserve">dataenergia-lumina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docs/02_modelo_datos.md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docs/bitacora_costos.log</w:t>
      </w:r>
      <w:r>
        <w:t xml:space="preserve">).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60" Target="https://cloud.google.com/bigquery/pricing" TargetMode="External" /><Relationship Type="http://schemas.openxmlformats.org/officeDocument/2006/relationships/hyperlink" Id="rId58" Target="https://cloud.google.com/bigtable/pricing" TargetMode="External" /><Relationship Type="http://schemas.openxmlformats.org/officeDocument/2006/relationships/hyperlink" Id="rId59" Target="https://cloud.google.com/composer/pricing" TargetMode="External" /><Relationship Type="http://schemas.openxmlformats.org/officeDocument/2006/relationships/hyperlink" Id="rId56" Target="https://cloud.google.com/dataproc-serverless/pricing" TargetMode="External" /><Relationship Type="http://schemas.openxmlformats.org/officeDocument/2006/relationships/hyperlink" Id="rId57" Target="https://cloud.google.com/managed-service-for-apache-kafka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loud.google.com/bigquery/pricing" TargetMode="External" /><Relationship Type="http://schemas.openxmlformats.org/officeDocument/2006/relationships/hyperlink" Id="rId58" Target="https://cloud.google.com/bigtable/pricing" TargetMode="External" /><Relationship Type="http://schemas.openxmlformats.org/officeDocument/2006/relationships/hyperlink" Id="rId59" Target="https://cloud.google.com/composer/pricing" TargetMode="External" /><Relationship Type="http://schemas.openxmlformats.org/officeDocument/2006/relationships/hyperlink" Id="rId56" Target="https://cloud.google.com/dataproc-serverless/pricing" TargetMode="External" /><Relationship Type="http://schemas.openxmlformats.org/officeDocument/2006/relationships/hyperlink" Id="rId57" Target="https://cloud.google.com/managed-service-for-apache-kafka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DataEnergía Metropolitan · Lumina Energía</dc:title>
  <dc:creator>Piero Palacios</dc:creator>
  <dc:language>es</dc:language>
  <cp:keywords/>
  <dcterms:created xsi:type="dcterms:W3CDTF">2026-10-20T20:43:04Z</dcterms:created>
  <dcterms:modified xsi:type="dcterms:W3CDTF">2026-10-20T20:43:04Z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Entrega 1: sustentación técnica, económica y de resiliencia, y blueprint de ingesta y almacenamiento</vt:lpwstr>
  </property>
  <property fmtid="{D5CDD505-2E9C-101B-9397-08002B2CF9AE}" pid="11" name="toc-title">
    <vt:lpwstr>Tabla de contenidos</vt:lpwstr>
  </property>
</Properties>
</file>