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DataEnergía Metropolitan · Lumina Energía</w:t>
      </w:r>
    </w:p>
    <w:p>
      <w:pPr>
        <w:pStyle w:val="Subtitle"/>
      </w:pPr>
      <w:r>
        <w:t xml:space="preserve">Entrega 1: sustentación técnica, económica y de resiliencia, y blueprint de ingesta y almacenamiento</w:t>
      </w:r>
    </w:p>
    <w:p>
      <w:pPr>
        <w:pStyle w:val="Author"/>
      </w:pPr>
      <w:r>
        <w:t xml:space="preserve">Piero Palacios</w:t>
      </w:r>
    </w:p>
    <w:p>
      <w:pPr>
        <w:pStyle w:val="Date"/>
      </w:pPr>
      <w:r>
        <w:t xml:space="preserve">2026-10-24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Tabla de contenidos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Documento elaborado con asistencia de IA generativa (Claude). Las cifras de costo usan precios de lista de Google Cloud (us-central1, octubre de 2026) y deben validarse con la Google Cloud Pricing Calculator; las decisiones técnicas, con el docente.</w:t>
      </w:r>
    </w:p>
    <w:bookmarkStart w:id="20" w:name="resumen-ejecutivo"/>
    <w:p>
      <w:pPr>
        <w:pStyle w:val="Heading1"/>
      </w:pPr>
      <w:r>
        <w:t xml:space="preserve">1. Resumen ejecutivo</w:t>
      </w:r>
    </w:p>
    <w:p>
      <w:pPr>
        <w:pStyle w:val="FirstParagraph"/>
      </w:pPr>
      <w:r>
        <w:t xml:space="preserve">Lumina Energía necesita convertir las lecturas de 8 millones de medidores inteligentes, hoy usadas solo para facturar, en decisiones de red en tiempo real, planes diarios de demanda, informes operativos y mantenimiento predictivo. Proponemos un</w:t>
      </w:r>
      <w:r>
        <w:t xml:space="preserve"> </w:t>
      </w:r>
      <w:r>
        <w:rPr>
          <w:b/>
          <w:bCs/>
        </w:rPr>
        <w:t xml:space="preserve">lakehouse en Google Cloud con APIs de código abierto</w:t>
      </w:r>
      <w:r>
        <w:t xml:space="preserve"> </w:t>
      </w:r>
      <w:r>
        <w:t xml:space="preserve">(Kafka, Spark, Airflow, Parquet) sobre servicios gestionados, con BigQuery como data warehouse y Bigtable para servir la app.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Lecturas por día (8 M medidores, cada 30 min)</w:t>
            </w:r>
          </w:p>
        </w:tc>
        <w:tc>
          <w:tcPr/>
          <w:p>
            <w:pPr>
              <w:pStyle w:val="Compact"/>
            </w:pPr>
            <w:r>
              <w:t xml:space="preserve">384 M</w:t>
            </w:r>
          </w:p>
        </w:tc>
        <w:tc>
          <w:tcPr/>
          <w:p>
            <w:pPr>
              <w:pStyle w:val="Compact"/>
            </w:pPr>
            <w:r>
              <w:t xml:space="preserve">Dimensionamiento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de plataforma, primer año, producción</w:t>
            </w:r>
          </w:p>
        </w:tc>
        <w:tc>
          <w:tcPr/>
          <w:p>
            <w:pPr>
              <w:pStyle w:val="Compact"/>
            </w:pPr>
            <w:r>
              <w:t xml:space="preserve">≈ US$29 k (US$0.0003 por medidor al mes)</w:t>
            </w:r>
          </w:p>
        </w:tc>
        <w:tc>
          <w:tcPr/>
          <w:p>
            <w:pPr>
              <w:pStyle w:val="Compact"/>
            </w:pPr>
            <w:r>
              <w:t xml:space="preserve">Calculadora (§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Escenario de lectura cada 1 min</w:t>
            </w:r>
          </w:p>
        </w:tc>
        <w:tc>
          <w:tcPr/>
          <w:p>
            <w:pPr>
              <w:pStyle w:val="Compact"/>
            </w:pPr>
            <w:r>
              <w:t xml:space="preserve">≈ US$157 k/año, el costo por lectura baja 5.6×</w:t>
            </w:r>
          </w:p>
        </w:tc>
        <w:tc>
          <w:tcPr/>
          <w:p>
            <w:pPr>
              <w:pStyle w:val="Compact"/>
            </w:pPr>
            <w:r>
              <w:t xml:space="preserve">Calculadora (§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Carga en hora punta (17–21 h) sobre el promedio diario</w:t>
            </w:r>
          </w:p>
        </w:tc>
        <w:tc>
          <w:tcPr/>
          <w:p>
            <w:pPr>
              <w:pStyle w:val="Compact"/>
            </w:pPr>
            <w:r>
              <w:t xml:space="preserve">+39 %</w:t>
            </w:r>
          </w:p>
        </w:tc>
        <w:tc>
          <w:tcPr/>
          <w:p>
            <w:pPr>
              <w:pStyle w:val="Compact"/>
            </w:pPr>
            <w:r>
              <w:t xml:space="preserve">Datos del caso, BigQuery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por hogar en los días más fríos</w:t>
            </w:r>
          </w:p>
        </w:tc>
        <w:tc>
          <w:tcPr/>
          <w:p>
            <w:pPr>
              <w:pStyle w:val="Compact"/>
            </w:pPr>
            <w:r>
              <w:t xml:space="preserve">+33 %</w:t>
            </w:r>
          </w:p>
        </w:tc>
        <w:tc>
          <w:tcPr/>
          <w:p>
            <w:pPr>
              <w:pStyle w:val="Compact"/>
            </w:pPr>
            <w:r>
              <w:t xml:space="preserve">Datos del caso, BigQuery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Prototipo implementado: lecturas procesadas y validadas</w:t>
            </w:r>
          </w:p>
        </w:tc>
        <w:tc>
          <w:tcPr/>
          <w:p>
            <w:pPr>
              <w:pStyle w:val="Compact"/>
            </w:pPr>
            <w:r>
              <w:t xml:space="preserve">167.8 M, coincidencia exacta con la fuente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del prototipo hasta hoy</w:t>
            </w:r>
          </w:p>
        </w:tc>
        <w:tc>
          <w:tcPr/>
          <w:p>
            <w:pPr>
              <w:pStyle w:val="Compact"/>
            </w:pPr>
            <w:r>
              <w:t xml:space="preserve">≈ US$1 de US$300</w:t>
            </w:r>
          </w:p>
        </w:tc>
        <w:tc>
          <w:tcPr/>
          <w:p>
            <w:pPr>
              <w:pStyle w:val="Compact"/>
            </w:pPr>
            <w:r>
              <w:t xml:space="preserve">Bitácora de costos</w:t>
            </w:r>
          </w:p>
        </w:tc>
      </w:tr>
    </w:tbl>
    <w:bookmarkEnd w:id="20"/>
    <w:bookmarkStart w:id="29" w:name="arquitectura-end-to-end"/>
    <w:p>
      <w:pPr>
        <w:pStyle w:val="Heading1"/>
      </w:pPr>
      <w:r>
        <w:t xml:space="preserve">2. Arquitectura end-to-end</w:t>
      </w:r>
    </w:p>
    <w:p>
      <w:pPr>
        <w:pStyle w:val="CaptionedFigure"/>
      </w:pPr>
      <w:r>
        <w:drawing>
          <wp:inline>
            <wp:extent cx="5334000" cy="2387494"/>
            <wp:effectExtent b="0" l="0" r="0" t="0"/>
            <wp:docPr descr="Arquitectura de producción en cuatro capas" title="" id="22" name="Picture"/>
            <a:graphic>
              <a:graphicData uri="http://schemas.openxmlformats.org/drawingml/2006/picture">
                <pic:pic>
                  <pic:nvPicPr>
                    <pic:cNvPr descr="diagrama_capa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4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Arquitectura de producción en cuatro capas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Componentes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Ingesta</w:t>
            </w:r>
          </w:p>
        </w:tc>
        <w:tc>
          <w:tcPr/>
          <w:p>
            <w:pPr>
              <w:pStyle w:val="Compact"/>
            </w:pPr>
            <w:r>
              <w:t xml:space="preserve">Managed Service for Apache Kafka; Kafka Connect y Storage Transfer para cargas batch</w:t>
            </w:r>
          </w:p>
        </w:tc>
        <w:tc>
          <w:tcPr/>
          <w:p>
            <w:pPr>
              <w:pStyle w:val="Compact"/>
            </w:pPr>
            <w:r>
              <w:t xml:space="preserve">Recibir lecturas, demanda de red y eventos de tarifa como flujo; traer clima y maestros por lotes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Cómputo</w:t>
            </w:r>
          </w:p>
        </w:tc>
        <w:tc>
          <w:tcPr/>
          <w:p>
            <w:pPr>
              <w:pStyle w:val="Compact"/>
            </w:pPr>
            <w:r>
              <w:t xml:space="preserve">Spark Structured Streaming (24/7); Spark batch serverless (Managed Service for Apache Spark, ex Dataproc Serverless); BigQuery SQL/BQML</w:t>
            </w:r>
          </w:p>
        </w:tc>
        <w:tc>
          <w:tcPr/>
          <w:p>
            <w:pPr>
              <w:pStyle w:val="Compact"/>
            </w:pPr>
            <w:r>
              <w:t xml:space="preserve">Detectar picos, anomalías y huecos en segundos; limpiar y modelar el histórico; pronosticar la demanda D+1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Lakehouse en GCS (raw, silver, gold en Parquet); BigQuery</w:t>
            </w:r>
            <w:r>
              <w:t xml:space="preserve"> </w:t>
            </w:r>
            <w:r>
              <w:rPr>
                <w:rStyle w:val="VerbatimChar"/>
              </w:rPr>
              <w:t xml:space="preserve">curated</w:t>
            </w:r>
            <w:r>
              <w:t xml:space="preserve"> </w:t>
            </w:r>
            <w:r>
              <w:t xml:space="preserve">(capa batch) y</w:t>
            </w:r>
            <w:r>
              <w:t xml:space="preserve"> </w:t>
            </w:r>
            <w:r>
              <w:rPr>
                <w:rStyle w:val="VerbatimChar"/>
              </w:rPr>
              <w:t xml:space="preserve">rt</w:t>
            </w:r>
            <w:r>
              <w:t xml:space="preserve"> </w:t>
            </w:r>
            <w:r>
              <w:t xml:space="preserve">(capa de velocidad); Bigtable</w:t>
            </w:r>
          </w:p>
        </w:tc>
        <w:tc>
          <w:tcPr/>
          <w:p>
            <w:pPr>
              <w:pStyle w:val="Compact"/>
            </w:pPr>
            <w:r>
              <w:t xml:space="preserve">Fuente de verdad barata y abierta; warehouse analítico histórico y de lo reciente; serie de tiempo por medidor para la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Exposición</w:t>
            </w:r>
          </w:p>
        </w:tc>
        <w:tc>
          <w:tcPr/>
          <w:p>
            <w:pPr>
              <w:pStyle w:val="Compact"/>
            </w:pPr>
            <w:r>
              <w:t xml:space="preserve">Vistas</w:t>
            </w:r>
            <w:r>
              <w:t xml:space="preserve"> </w:t>
            </w:r>
            <w:r>
              <w:rPr>
                <w:rStyle w:val="VerbatimChar"/>
              </w:rPr>
              <w:t xml:space="preserve">lumina_olap</w:t>
            </w:r>
            <w:r>
              <w:t xml:space="preserve"> </w:t>
            </w:r>
            <w:r>
              <w:t xml:space="preserve">(unen historia y hoy); API REST/WebSocket en Cloud Run; Looker Studio; tópico</w:t>
            </w:r>
            <w:r>
              <w:t xml:space="preserve"> </w:t>
            </w:r>
            <w:r>
              <w:rPr>
                <w:rStyle w:val="VerbatimChar"/>
              </w:rPr>
              <w:t xml:space="preserve">alerts.dr</w:t>
            </w:r>
          </w:p>
        </w:tc>
        <w:tc>
          <w:tcPr/>
          <w:p>
            <w:pPr>
              <w:pStyle w:val="Compact"/>
            </w:pPr>
            <w:r>
              <w:t xml:space="preserve">Una sola vista de los datos para la app, los informes OLAP y las señales de respuesta a la demanda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t xml:space="preserve">Airflow (Composer 3), IAM, Secret Manager, policy tags, Cloud Monitoring y Logging</w:t>
            </w:r>
          </w:p>
        </w:tc>
        <w:tc>
          <w:tcPr/>
          <w:p>
            <w:pPr>
              <w:pStyle w:val="Compact"/>
            </w:pPr>
            <w:r>
              <w:t xml:space="preserve">Orquestación, seguridad, gobierno y observabilidad</w:t>
            </w:r>
          </w:p>
        </w:tc>
      </w:tr>
    </w:tbl>
    <w:bookmarkStart w:id="27" w:name="X4443dd0ec4c01ffed4c05da6fb54d7eae3b635e"/>
    <w:p>
      <w:pPr>
        <w:pStyle w:val="Heading2"/>
      </w:pPr>
      <w:r>
        <w:t xml:space="preserve">2.1 Patrón Lambda: cómo se combinan batch y streaming</w:t>
      </w:r>
    </w:p>
    <w:p>
      <w:pPr>
        <w:pStyle w:val="FirstParagraph"/>
      </w:pPr>
      <w:r>
        <w:t xml:space="preserve">La arquitectura sigue el patrón</w:t>
      </w:r>
      <w:r>
        <w:t xml:space="preserve"> </w:t>
      </w:r>
      <w:r>
        <w:rPr>
          <w:b/>
          <w:bCs/>
        </w:rPr>
        <w:t xml:space="preserve">Lambda</w:t>
      </w:r>
      <w:r>
        <w:t xml:space="preserve">: una</w:t>
      </w:r>
      <w:r>
        <w:t xml:space="preserve"> </w:t>
      </w:r>
      <w:r>
        <w:rPr>
          <w:b/>
          <w:bCs/>
        </w:rPr>
        <w:t xml:space="preserve">capa batch</w:t>
      </w:r>
      <w:r>
        <w:t xml:space="preserve"> </w:t>
      </w:r>
      <w:r>
        <w:t xml:space="preserve">que guarda la verdad histórica y aprende qué es normal para cada hogar, una</w:t>
      </w:r>
      <w:r>
        <w:t xml:space="preserve"> </w:t>
      </w:r>
      <w:r>
        <w:rPr>
          <w:b/>
          <w:bCs/>
        </w:rPr>
        <w:t xml:space="preserve">capa de velocidad</w:t>
      </w:r>
      <w:r>
        <w:t xml:space="preserve"> </w:t>
      </w:r>
      <w:r>
        <w:t xml:space="preserve">que evalúa cada lectura nueva en segundos, y una</w:t>
      </w:r>
      <w:r>
        <w:t xml:space="preserve"> </w:t>
      </w:r>
      <w:r>
        <w:rPr>
          <w:b/>
          <w:bCs/>
        </w:rPr>
        <w:t xml:space="preserve">capa de servicio</w:t>
      </w:r>
      <w:r>
        <w:t xml:space="preserve"> </w:t>
      </w:r>
      <w:r>
        <w:t xml:space="preserve">que las une. Se descartó</w:t>
      </w:r>
      <w:r>
        <w:t xml:space="preserve"> </w:t>
      </w:r>
      <w:r>
        <w:rPr>
          <w:b/>
          <w:bCs/>
        </w:rPr>
        <w:t xml:space="preserve">Kappa</w:t>
      </w:r>
      <w:r>
        <w:t xml:space="preserve"> </w:t>
      </w:r>
      <w:r>
        <w:t xml:space="preserve">(solo streaming, reprocesando la historia desde el log de Kafka), porque los perfiles por hogar, el pronóstico D+1 y los informes requieren recalcular dos años de historia, y eso es más barato y simple en batch. Para no duplicar lógica, ambas capas usan el mismo motor (Spark) y una sola puerta de entrada (Kafka).</w:t>
      </w:r>
    </w:p>
    <w:p>
      <w:pPr>
        <w:pStyle w:val="CaptionedFigure"/>
      </w:pPr>
      <w:r>
        <w:drawing>
          <wp:inline>
            <wp:extent cx="5334000" cy="1078437"/>
            <wp:effectExtent b="0" l="0" r="0" t="0"/>
            <wp:docPr descr="Arquitectura Lambda y puntos de sincronización" title="" id="25" name="Picture"/>
            <a:graphic>
              <a:graphicData uri="http://schemas.openxmlformats.org/drawingml/2006/picture">
                <pic:pic>
                  <pic:nvPicPr>
                    <pic:cNvPr descr="../diagrama_lambd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78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Arquitectura Lambda y puntos de sincronización</w:t>
      </w:r>
    </w:p>
    <w:p>
      <w:pPr>
        <w:pStyle w:val="BodyText"/>
      </w:pPr>
      <w:r>
        <w:rPr>
          <w:b/>
          <w:bCs/>
        </w:rPr>
        <w:t xml:space="preserve">Sentido de los flujos:</w:t>
      </w:r>
      <w:r>
        <w:t xml:space="preserve"> </w:t>
      </w:r>
      <w:r>
        <w:t xml:space="preserve">los</w:t>
      </w:r>
      <w:r>
        <w:t xml:space="preserve"> </w:t>
      </w:r>
      <w:r>
        <w:rPr>
          <w:b/>
          <w:bCs/>
        </w:rPr>
        <w:t xml:space="preserve">datos</w:t>
      </w:r>
      <w:r>
        <w:t xml:space="preserve"> </w:t>
      </w:r>
      <w:r>
        <w:t xml:space="preserve">van del streaming al batch (cada lectura en vivo se copia a bronze y el batch la vuelve definitiva); del batch al streaming solo viajan</w:t>
      </w:r>
      <w:r>
        <w:t xml:space="preserve"> </w:t>
      </w:r>
      <w:r>
        <w:rPr>
          <w:b/>
          <w:bCs/>
        </w:rPr>
        <w:t xml:space="preserve">reglas</w:t>
      </w:r>
      <w:r>
        <w:t xml:space="preserve"> </w:t>
      </w:r>
      <w:r>
        <w:t xml:space="preserve">(perfiles y umbrales). El batch no escribe en</w:t>
      </w:r>
      <w:r>
        <w:t xml:space="preserve"> </w:t>
      </w:r>
      <w:r>
        <w:rPr>
          <w:rStyle w:val="VerbatimChar"/>
        </w:rPr>
        <w:t xml:space="preserve">lumina_rt</w:t>
      </w:r>
      <w:r>
        <w:t xml:space="preserve">: la precedencia del batch es una regla de las vistas.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Sincronización</w:t>
            </w:r>
          </w:p>
        </w:tc>
        <w:tc>
          <w:tcPr/>
          <w:p>
            <w:pPr>
              <w:pStyle w:val="Compact"/>
            </w:pPr>
            <w:r>
              <w:t xml:space="preserve">Mecanismo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lectura en vivo pasa a la historia</w:t>
            </w:r>
          </w:p>
        </w:tc>
        <w:tc>
          <w:tcPr/>
          <w:p>
            <w:pPr>
              <w:pStyle w:val="Compact"/>
            </w:pPr>
            <w:r>
              <w:t xml:space="preserve">El job de streaming guarda cada lectura en bronze (además de evaluarla); el batch nocturno la consolida en</w:t>
            </w:r>
            <w:r>
              <w:t xml:space="preserve"> </w:t>
            </w:r>
            <w:r>
              <w:rPr>
                <w:rStyle w:val="VerbatimChar"/>
              </w:rPr>
              <w:t xml:space="preserve">curated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Lo aprendido llega al streaming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perfil_hogar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umbral_zona</w:t>
            </w:r>
            <w:r>
              <w:t xml:space="preserve"> </w:t>
            </w:r>
            <w:r>
              <w:t xml:space="preserve">(batch) son los umbrales del streaming; se recargan cada día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Una sola vista para el consumo</w:t>
            </w:r>
          </w:p>
        </w:tc>
        <w:tc>
          <w:tcPr/>
          <w:p>
            <w:pPr>
              <w:pStyle w:val="Compact"/>
            </w:pPr>
            <w:r>
              <w:t xml:space="preserve">Las vistas</w:t>
            </w:r>
            <w:r>
              <w:t xml:space="preserve"> </w:t>
            </w:r>
            <w:r>
              <w:rPr>
                <w:rStyle w:val="VerbatimChar"/>
              </w:rPr>
              <w:t xml:space="preserve">lumina_olap</w:t>
            </w:r>
            <w:r>
              <w:t xml:space="preserve"> </w:t>
            </w:r>
            <w:r>
              <w:t xml:space="preserve">unen</w:t>
            </w:r>
            <w:r>
              <w:t xml:space="preserve"> </w:t>
            </w:r>
            <w:r>
              <w:rPr>
                <w:rStyle w:val="VerbatimChar"/>
              </w:rPr>
              <w:t xml:space="preserve">curated</w:t>
            </w:r>
            <w:r>
              <w:t xml:space="preserve"> </w:t>
            </w:r>
            <w:r>
              <w:t xml:space="preserve">(hasta ayer) con</w:t>
            </w:r>
            <w:r>
              <w:t xml:space="preserve"> </w:t>
            </w:r>
            <w:r>
              <w:rPr>
                <w:rStyle w:val="VerbatimChar"/>
              </w:rPr>
              <w:t xml:space="preserve">rt</w:t>
            </w:r>
            <w:r>
              <w:t xml:space="preserve"> </w:t>
            </w:r>
            <w:r>
              <w:t xml:space="preserve">(hoy)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El dato provisional se vuelve definitivo</w:t>
            </w:r>
          </w:p>
        </w:tc>
        <w:tc>
          <w:tcPr/>
          <w:p>
            <w:pPr>
              <w:pStyle w:val="Compact"/>
            </w:pPr>
            <w:r>
              <w:t xml:space="preserve">De</w:t>
            </w:r>
            <w:r>
              <w:t xml:space="preserve"> </w:t>
            </w:r>
            <w:r>
              <w:rPr>
                <w:rStyle w:val="VerbatimChar"/>
              </w:rPr>
              <w:t xml:space="preserve">rt</w:t>
            </w:r>
            <w:r>
              <w:t xml:space="preserve"> </w:t>
            </w:r>
            <w:r>
              <w:t xml:space="preserve">solo se toma lo posterior al último batch; si hay diferencia, manda el batch, que incorpora lecturas atrasadas</w:t>
            </w:r>
          </w:p>
        </w:tc>
      </w:tr>
    </w:tbl>
    <w:bookmarkEnd w:id="27"/>
    <w:bookmarkStart w:id="28" w:name="X8f9251a81d749753af419a6c9c278c55a66fbdd"/>
    <w:p>
      <w:pPr>
        <w:pStyle w:val="Heading2"/>
      </w:pPr>
      <w:r>
        <w:t xml:space="preserve">2.2 Producción frente al prototipo del taller</w:t>
      </w:r>
    </w:p>
    <w:p>
      <w:pPr>
        <w:pStyle w:val="FirstParagraph"/>
      </w:pPr>
      <w:r>
        <w:t xml:space="preserve">El prototipo usa los mismos motores y formatos con menos capacidad, para mantenerse dentro de US$300: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Pieza</w:t>
            </w:r>
          </w:p>
        </w:tc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Prototipo (implementado o planificado)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 de eventos</w:t>
            </w:r>
          </w:p>
        </w:tc>
        <w:tc>
          <w:tcPr/>
          <w:p>
            <w:pPr>
              <w:pStyle w:val="Compact"/>
            </w:pPr>
            <w:r>
              <w:t xml:space="preserve">Managed Service for Apache Kafka, 3 zonas</w:t>
            </w:r>
          </w:p>
        </w:tc>
        <w:tc>
          <w:tcPr/>
          <w:p>
            <w:pPr>
              <w:pStyle w:val="Compact"/>
            </w:pPr>
            <w:r>
              <w:t xml:space="preserve">Kafka (KRaft) en una VM que se enciende por sesión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Streaming</w:t>
            </w:r>
          </w:p>
        </w:tc>
        <w:tc>
          <w:tcPr/>
          <w:p>
            <w:pPr>
              <w:pStyle w:val="Compact"/>
            </w:pPr>
            <w:r>
              <w:t xml:space="preserve">Clúster Spark 24/7</w:t>
            </w:r>
          </w:p>
        </w:tc>
        <w:tc>
          <w:tcPr/>
          <w:p>
            <w:pPr>
              <w:pStyle w:val="Compact"/>
            </w:pPr>
            <w:r>
              <w:t xml:space="preserve">Spark Structured Streaming en la misma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t xml:space="preserve">Spark serverless diario</w:t>
            </w:r>
          </w:p>
        </w:tc>
        <w:tc>
          <w:tcPr/>
          <w:p>
            <w:pPr>
              <w:pStyle w:val="Compact"/>
            </w:pPr>
            <w:r>
              <w:t xml:space="preserve">Spark serverless,</w:t>
            </w:r>
            <w:r>
              <w:t xml:space="preserve"> </w:t>
            </w:r>
            <w:r>
              <w:rPr>
                <w:b/>
                <w:bCs/>
              </w:rPr>
              <w:t xml:space="preserve">implementado</w:t>
            </w:r>
            <w:r>
              <w:t xml:space="preserve"> </w:t>
            </w:r>
            <w:r>
              <w:t xml:space="preserve">(silver y gold)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Orquestación</w:t>
            </w:r>
          </w:p>
        </w:tc>
        <w:tc>
          <w:tcPr/>
          <w:p>
            <w:pPr>
              <w:pStyle w:val="Compact"/>
            </w:pPr>
            <w:r>
              <w:t xml:space="preserve">Composer 3</w:t>
            </w:r>
          </w:p>
        </w:tc>
        <w:tc>
          <w:tcPr/>
          <w:p>
            <w:pPr>
              <w:pStyle w:val="Compact"/>
            </w:pPr>
            <w:r>
              <w:t xml:space="preserve">Airflow en la VM (mismos DAGs)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Serving de la app</w:t>
            </w:r>
          </w:p>
        </w:tc>
        <w:tc>
          <w:tcPr/>
          <w:p>
            <w:pPr>
              <w:pStyle w:val="Compact"/>
            </w:pPr>
            <w:r>
              <w:t xml:space="preserve">Bigtable + Cloud Run</w:t>
            </w:r>
          </w:p>
        </w:tc>
        <w:tc>
          <w:tcPr/>
          <w:p>
            <w:pPr>
              <w:pStyle w:val="Compact"/>
            </w:pPr>
            <w:r>
              <w:t xml:space="preserve">BigQuery + Cloud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Lake</w:t>
            </w:r>
          </w:p>
        </w:tc>
        <w:tc>
          <w:tcPr/>
          <w:p>
            <w:pPr>
              <w:pStyle w:val="Compact"/>
            </w:pPr>
            <w:r>
              <w:t xml:space="preserve">GCS dual-region</w:t>
            </w:r>
          </w:p>
        </w:tc>
        <w:tc>
          <w:tcPr/>
          <w:p>
            <w:pPr>
              <w:pStyle w:val="Compact"/>
            </w:pPr>
            <w:r>
              <w:t xml:space="preserve">GCS regional,</w:t>
            </w:r>
            <w:r>
              <w:t xml:space="preserve"> </w:t>
            </w:r>
            <w:r>
              <w:rPr>
                <w:b/>
                <w:bCs/>
              </w:rPr>
              <w:t xml:space="preserve">implementado</w:t>
            </w:r>
          </w:p>
        </w:tc>
      </w:tr>
    </w:tbl>
    <w:bookmarkEnd w:id="28"/>
    <w:bookmarkEnd w:id="29"/>
    <w:bookmarkStart w:id="33" w:name="integración-multifuente"/>
    <w:p>
      <w:pPr>
        <w:pStyle w:val="Heading1"/>
      </w:pPr>
      <w:r>
        <w:t xml:space="preserve">3. Integración multifuente</w:t>
      </w:r>
    </w:p>
    <w:bookmarkStart w:id="30" w:name="fuentes-y-mecanismo-de-captura"/>
    <w:p>
      <w:pPr>
        <w:pStyle w:val="Heading2"/>
      </w:pPr>
      <w:r>
        <w:t xml:space="preserve">3.1 Fuentes y mecanismo de captura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Captura</w:t>
            </w:r>
          </w:p>
        </w:tc>
        <w:tc>
          <w:tcPr/>
          <w:p>
            <w:pPr>
              <w:pStyle w:val="Compact"/>
            </w:pPr>
            <w:r>
              <w:t xml:space="preserve">Llave de cruce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Lecturas de medidores (</w:t>
            </w:r>
            <w:r>
              <w:rPr>
                <w:rStyle w:val="VerbatimChar"/>
              </w:rPr>
              <w:t xml:space="preserve">halfhourly_dataset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IoT</w:t>
            </w:r>
          </w:p>
        </w:tc>
        <w:tc>
          <w:tcPr/>
          <w:p>
            <w:pPr>
              <w:pStyle w:val="Compact"/>
            </w:pPr>
            <w:r>
              <w:t xml:space="preserve">30 min (→ 1 min)</w:t>
            </w:r>
          </w:p>
        </w:tc>
        <w:tc>
          <w:tcPr/>
          <w:p>
            <w:pPr>
              <w:pStyle w:val="Compact"/>
            </w:pPr>
            <w:r>
              <w:t xml:space="preserve">Streaming (Kafka)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ts_utc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Hogares y segmento Acorn</w:t>
            </w:r>
          </w:p>
        </w:tc>
        <w:tc>
          <w:tcPr/>
          <w:p>
            <w:pPr>
              <w:pStyle w:val="Compact"/>
            </w:pPr>
            <w:r>
              <w:t xml:space="preserve">Maestro</w:t>
            </w:r>
          </w:p>
        </w:tc>
        <w:tc>
          <w:tcPr/>
          <w:p>
            <w:pPr>
              <w:pStyle w:val="Compact"/>
            </w:pPr>
            <w:r>
              <w:t xml:space="preserve">Casi estática</w:t>
            </w:r>
          </w:p>
        </w:tc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lclid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acorn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Perfil demográfico Acorn</w:t>
            </w:r>
          </w:p>
        </w:tc>
        <w:tc>
          <w:tcPr/>
          <w:p>
            <w:pPr>
              <w:pStyle w:val="Compact"/>
            </w:pPr>
            <w:r>
              <w:t xml:space="preserve">Referencia</w:t>
            </w:r>
          </w:p>
        </w:tc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acorn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Clima DarkSky (horario, diario)</w:t>
            </w:r>
          </w:p>
        </w:tc>
        <w:tc>
          <w:tcPr/>
          <w:p>
            <w:pPr>
              <w:pStyle w:val="Compact"/>
            </w:pPr>
            <w:r>
              <w:t xml:space="preserve">Externa</w:t>
            </w:r>
          </w:p>
        </w:tc>
        <w:tc>
          <w:tcPr/>
          <w:p>
            <w:pPr>
              <w:pStyle w:val="Compact"/>
            </w:pPr>
            <w:r>
              <w:t xml:space="preserve">Horaria</w:t>
            </w:r>
          </w:p>
        </w:tc>
        <w:tc>
          <w:tcPr/>
          <w:p>
            <w:pPr>
              <w:pStyle w:val="Compact"/>
            </w:pPr>
            <w:r>
              <w:t xml:space="preserve">Batch (prod.: API de pronóstico)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ts_utc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Clima NOAA GSOD (Heathrow)</w:t>
            </w:r>
          </w:p>
        </w:tc>
        <w:tc>
          <w:tcPr/>
          <w:p>
            <w:pPr>
              <w:pStyle w:val="Compact"/>
            </w:pPr>
            <w:r>
              <w:t xml:space="preserve">Warehouse público</w:t>
            </w:r>
          </w:p>
        </w:tc>
        <w:tc>
          <w:tcPr/>
          <w:p>
            <w:pPr>
              <w:pStyle w:val="Compact"/>
            </w:pPr>
            <w:r>
              <w:t xml:space="preserve">Diaria</w:t>
            </w:r>
          </w:p>
        </w:tc>
        <w:tc>
          <w:tcPr/>
          <w:p>
            <w:pPr>
              <w:pStyle w:val="Compact"/>
            </w:pPr>
            <w:r>
              <w:t xml:space="preserve">Consulta directa en BigQuery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Feriados del Reino Unido</w:t>
            </w:r>
          </w:p>
        </w:tc>
        <w:tc>
          <w:tcPr/>
          <w:p>
            <w:pPr>
              <w:pStyle w:val="Compact"/>
            </w:pPr>
            <w:r>
              <w:t xml:space="preserve">Calendario</w:t>
            </w:r>
          </w:p>
        </w:tc>
        <w:tc>
          <w:tcPr/>
          <w:p>
            <w:pPr>
              <w:pStyle w:val="Compact"/>
            </w:pPr>
            <w:r>
              <w:t xml:space="preserve">Anual</w:t>
            </w:r>
          </w:p>
        </w:tc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Demanda nacional y renovables (National Grid ESO)</w:t>
            </w:r>
          </w:p>
        </w:tc>
        <w:tc>
          <w:tcPr/>
          <w:p>
            <w:pPr>
              <w:pStyle w:val="Compact"/>
            </w:pPr>
            <w:r>
              <w:t xml:space="preserve">Externa, red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Streaming / batch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ts_utc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Eventos de tarifa dinámica (dToU 2013)</w:t>
            </w:r>
          </w:p>
        </w:tc>
        <w:tc>
          <w:tcPr/>
          <w:p>
            <w:pPr>
              <w:pStyle w:val="Compact"/>
            </w:pPr>
            <w:r>
              <w:t xml:space="preserve">Externa, precio</w:t>
            </w:r>
          </w:p>
        </w:tc>
        <w:tc>
          <w:tcPr/>
          <w:p>
            <w:pPr>
              <w:pStyle w:val="Compact"/>
            </w:pPr>
            <w:r>
              <w:t xml:space="preserve">Eventos</w:t>
            </w:r>
          </w:p>
        </w:tc>
        <w:tc>
          <w:tcPr/>
          <w:p>
            <w:pPr>
              <w:pStyle w:val="Compact"/>
            </w:pPr>
            <w:r>
              <w:t xml:space="preserve">Streaming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ts_utc</w:t>
            </w:r>
          </w:p>
        </w:tc>
      </w:tr>
    </w:tbl>
    <w:bookmarkEnd w:id="30"/>
    <w:bookmarkStart w:id="31" w:name="cómo-se-cruzan-los-datos"/>
    <w:p>
      <w:pPr>
        <w:pStyle w:val="Heading2"/>
      </w:pPr>
      <w:r>
        <w:t xml:space="preserve">3.2 Cómo se cruzan los datos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Tiempo común en UTC.</w:t>
      </w:r>
      <w:r>
        <w:t xml:space="preserve"> </w:t>
      </w:r>
      <w:r>
        <w:t xml:space="preserve">Las lecturas ya vienen en UTC (48 por día incluso en cambio de hora). La demanda nacional viene en</w:t>
      </w:r>
      <w:r>
        <w:t xml:space="preserve"> </w:t>
      </w:r>
      <w:r>
        <w:rPr>
          <w:i/>
          <w:iCs/>
        </w:rPr>
        <w:t xml:space="preserve">settlement periods</w:t>
      </w:r>
      <w:r>
        <w:t xml:space="preserve"> </w:t>
      </w:r>
      <w:r>
        <w:t xml:space="preserve">de hora local de Londres (46 o 50 en cambio de hora); se convierte con</w:t>
      </w:r>
      <w:r>
        <w:t xml:space="preserve"> </w:t>
      </w:r>
      <w:r>
        <w:rPr>
          <w:rStyle w:val="VerbatimChar"/>
        </w:rPr>
        <w:t xml:space="preserve">ts_utc = medianoche local en UTC + (periodo − 1) × 30 min</w:t>
      </w:r>
      <w:r>
        <w:t xml:space="preserve">. La hora punta y los perfiles se calculan en hora local.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Modelo estrella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dim_hogar</w:t>
      </w:r>
      <w:r>
        <w:t xml:space="preserve"> </w:t>
      </w:r>
      <w:r>
        <w:t xml:space="preserve">(tarifa, Acorn, zona y transformador),</w:t>
      </w:r>
      <w:r>
        <w:t xml:space="preserve"> </w:t>
      </w:r>
      <w:r>
        <w:rPr>
          <w:rStyle w:val="VerbatimChar"/>
        </w:rPr>
        <w:t xml:space="preserve">dim_fecha</w:t>
      </w:r>
      <w:r>
        <w:t xml:space="preserve"> </w:t>
      </w:r>
      <w:r>
        <w:t xml:space="preserve">(feriado, tipo de día, estación) y</w:t>
      </w:r>
      <w:r>
        <w:t xml:space="preserve"> </w:t>
      </w:r>
      <w:r>
        <w:rPr>
          <w:rStyle w:val="VerbatimChar"/>
        </w:rPr>
        <w:t xml:space="preserve">dim_acorn</w:t>
      </w:r>
      <w:r>
        <w:t xml:space="preserve">, más hechos de consumo a 30 min y diario, carga por transformador y zona, demanda nacional y clima. Detalle en</w:t>
      </w:r>
      <w:r>
        <w:t xml:space="preserve"> </w:t>
      </w:r>
      <w:r>
        <w:rPr>
          <w:rStyle w:val="VerbatimChar"/>
        </w:rPr>
        <w:t xml:space="preserve">docs/02_modelo_datos.md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Geografía sintética declarada.</w:t>
      </w:r>
      <w:r>
        <w:t xml:space="preserve"> </w:t>
      </w:r>
      <w:r>
        <w:t xml:space="preserve">El dataset no trae ubicación, así que se asignan 8 zonas de concesión y 112 transformadores con un hash determinístico del medidor.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Calidad desde el origen.</w:t>
      </w:r>
      <w:r>
        <w:t xml:space="preserve"> </w:t>
      </w:r>
      <w:r>
        <w:t xml:space="preserve">Lecturas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fuera de la grilla de 30 min y duplicadas se marcan en silver;</w:t>
      </w:r>
      <w:r>
        <w:t xml:space="preserve"> </w:t>
      </w:r>
      <w:r>
        <w:rPr>
          <w:rStyle w:val="VerbatimChar"/>
        </w:rPr>
        <w:t xml:space="preserve">dq_medidor</w:t>
      </w:r>
      <w:r>
        <w:t xml:space="preserve"> </w:t>
      </w:r>
      <w:r>
        <w:t xml:space="preserve">diagnostica a cada medidor.</w:t>
      </w:r>
    </w:p>
    <w:bookmarkEnd w:id="31"/>
    <w:bookmarkStart w:id="32" w:name="evidencia-del-prototipo"/>
    <w:p>
      <w:pPr>
        <w:pStyle w:val="Heading2"/>
      </w:pPr>
      <w:r>
        <w:t xml:space="preserve">3.3 Evidencia del prototipo</w:t>
      </w:r>
    </w:p>
    <w:p>
      <w:pPr>
        <w:pStyle w:val="Compact"/>
        <w:numPr>
          <w:ilvl w:val="0"/>
          <w:numId w:val="1002"/>
        </w:numPr>
      </w:pPr>
      <w:r>
        <w:t xml:space="preserve">167,811,461 lecturas en gold; 3,510,403 medidor-día coinciden</w:t>
      </w:r>
      <w:r>
        <w:t xml:space="preserve"> </w:t>
      </w:r>
      <w:r>
        <w:rPr>
          <w:b/>
          <w:bCs/>
        </w:rPr>
        <w:t xml:space="preserve">exactamente</w:t>
      </w:r>
      <w:r>
        <w:t xml:space="preserve"> </w:t>
      </w:r>
      <w:r>
        <w:t xml:space="preserve">con el agregado diario publicado en Kaggle (35.54 GWh en ambos lados).</w:t>
      </w:r>
    </w:p>
    <w:p>
      <w:pPr>
        <w:pStyle w:val="Compact"/>
        <w:numPr>
          <w:ilvl w:val="0"/>
          <w:numId w:val="1002"/>
        </w:numPr>
      </w:pPr>
      <w:r>
        <w:t xml:space="preserve">Diagnóstico de 5,561 medidores: 5,068 sin problemas, 240 con huecos frecuentes, 232 con más de 24 h seguidas en cero y 21 con cobertura menor al 90 %.</w:t>
      </w:r>
    </w:p>
    <w:bookmarkEnd w:id="32"/>
    <w:bookmarkEnd w:id="33"/>
    <w:bookmarkStart w:id="36" w:name="definición-de-ingesta-y-almacenamiento"/>
    <w:p>
      <w:pPr>
        <w:pStyle w:val="Heading1"/>
      </w:pPr>
      <w:r>
        <w:t xml:space="preserve">4. Definición de ingesta y almacenamiento</w:t>
      </w:r>
    </w:p>
    <w:bookmarkStart w:id="34" w:name="ingesta"/>
    <w:p>
      <w:pPr>
        <w:pStyle w:val="Heading2"/>
      </w:pPr>
      <w:r>
        <w:t xml:space="preserve">4.1 Ingesta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Flujo</w:t>
            </w:r>
          </w:p>
        </w:tc>
        <w:tc>
          <w:tcPr/>
          <w:p>
            <w:pPr>
              <w:pStyle w:val="Compact"/>
            </w:pPr>
            <w: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Lecturas, demanda de red, eventos de tarifa</w:t>
            </w:r>
          </w:p>
        </w:tc>
        <w:tc>
          <w:tcPr/>
          <w:p>
            <w:pPr>
              <w:pStyle w:val="Compact"/>
            </w:pPr>
            <w:r>
              <w:t xml:space="preserve">Kafka, tópicos</w:t>
            </w:r>
            <w:r>
              <w:t xml:space="preserve"> </w:t>
            </w:r>
            <w:r>
              <w:rPr>
                <w:rStyle w:val="VerbatimChar"/>
              </w:rPr>
              <w:t xml:space="preserve">meter.readings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grid.demand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tariff.events</w:t>
            </w:r>
            <w:r>
              <w:t xml:space="preserve">; clave = medidor o zona</w:t>
            </w:r>
          </w:p>
        </w:tc>
        <w:tc>
          <w:tcPr/>
          <w:p>
            <w:pPr>
              <w:pStyle w:val="Compact"/>
            </w:pPr>
            <w:r>
              <w:t xml:space="preserve">Orden por medidor, reproceso (</w:t>
            </w:r>
            <w:r>
              <w:rPr>
                <w:i/>
                <w:iCs/>
              </w:rPr>
              <w:t xml:space="preserve">replay</w:t>
            </w:r>
            <w:r>
              <w:t xml:space="preserve">) y retención de 7 días; API abierta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Lake raw</w:t>
            </w:r>
          </w:p>
        </w:tc>
        <w:tc>
          <w:tcPr/>
          <w:p>
            <w:pPr>
              <w:pStyle w:val="Compact"/>
            </w:pPr>
            <w:r>
              <w:t xml:space="preserve">Kafka Connect, sink a GCS cada pocos minutos</w:t>
            </w:r>
          </w:p>
        </w:tc>
        <w:tc>
          <w:tcPr/>
          <w:p>
            <w:pPr>
              <w:pStyle w:val="Compact"/>
            </w:pPr>
            <w:r>
              <w:t xml:space="preserve">Copia inmutable para reprocesar sin depender del streaming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Clima, maestros, calendario</w:t>
            </w:r>
          </w:p>
        </w:tc>
        <w:tc>
          <w:tcPr/>
          <w:p>
            <w:pPr>
              <w:pStyle w:val="Compact"/>
            </w:pPr>
            <w:r>
              <w:t xml:space="preserve">Cargas batch programadas por Airflow</w:t>
            </w:r>
          </w:p>
        </w:tc>
        <w:tc>
          <w:tcPr/>
          <w:p>
            <w:pPr>
              <w:pStyle w:val="Compact"/>
            </w:pPr>
            <w:r>
              <w:t xml:space="preserve">Cambian poco; no justifican streaming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Clima público</w:t>
            </w:r>
          </w:p>
        </w:tc>
        <w:tc>
          <w:tcPr/>
          <w:p>
            <w:pPr>
              <w:pStyle w:val="Compact"/>
            </w:pPr>
            <w:r>
              <w:t xml:space="preserve">Consulta federada a</w:t>
            </w:r>
            <w:r>
              <w:t xml:space="preserve"> </w:t>
            </w:r>
            <w:r>
              <w:rPr>
                <w:rStyle w:val="VerbatimChar"/>
              </w:rPr>
              <w:t xml:space="preserve">bigquery-public-data.noaa_gsod</w:t>
            </w:r>
          </w:p>
        </w:tc>
        <w:tc>
          <w:tcPr/>
          <w:p>
            <w:pPr>
              <w:pStyle w:val="Compact"/>
            </w:pPr>
            <w:r>
              <w:t xml:space="preserve">Cero ingesta: el dato ya está en el warehouse</w:t>
            </w:r>
          </w:p>
        </w:tc>
      </w:tr>
    </w:tbl>
    <w:bookmarkEnd w:id="34"/>
    <w:bookmarkStart w:id="35" w:name="almacenamiento-según-volumen-y-velocidad"/>
    <w:p>
      <w:pPr>
        <w:pStyle w:val="Heading2"/>
      </w:pPr>
      <w:r>
        <w:t xml:space="preserve">4.2 Almacenamiento según volumen y velocidad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Qué guarda</w:t>
            </w:r>
          </w:p>
        </w:tc>
        <w:tc>
          <w:tcPr/>
          <w:p>
            <w:pPr>
              <w:pStyle w:val="Compact"/>
            </w:pPr>
            <w:r>
              <w:t xml:space="preserve">Por qué este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Lakehouse GCS (Parquet)</w:t>
            </w:r>
          </w:p>
        </w:tc>
        <w:tc>
          <w:tcPr/>
          <w:p>
            <w:pPr>
              <w:pStyle w:val="Compact"/>
            </w:pPr>
            <w:r>
              <w:t xml:space="preserve">Todo el histórico en raw, silver y gold</w:t>
            </w:r>
          </w:p>
        </w:tc>
        <w:tc>
          <w:tcPr/>
          <w:p>
            <w:pPr>
              <w:pStyle w:val="Compact"/>
            </w:pPr>
            <w:r>
              <w:t xml:space="preserve">US$0.02/GB-mes; formato abierto. En el prototipo, 7.3 GB de CSV quedan en 0.9 GB de Parquet (5.6 bytes por lectura)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BigQuery</w:t>
            </w:r>
          </w:p>
        </w:tc>
        <w:tc>
          <w:tcPr/>
          <w:p>
            <w:pPr>
              <w:pStyle w:val="Compact"/>
            </w:pPr>
            <w:r>
              <w:t xml:space="preserve">Modelo estrella;</w:t>
            </w:r>
            <w:r>
              <w:t xml:space="preserve"> </w:t>
            </w:r>
            <w:r>
              <w:rPr>
                <w:rStyle w:val="VerbatimChar"/>
              </w:rPr>
              <w:t xml:space="preserve">fact_consumo_30min</w:t>
            </w:r>
            <w:r>
              <w:t xml:space="preserve"> </w:t>
            </w:r>
            <w:r>
              <w:t xml:space="preserve">particionada por día y clusterizada por medidor; tabla anidada con</w:t>
            </w:r>
            <w:r>
              <w:t xml:space="preserve"> </w:t>
            </w:r>
            <w:r>
              <w:rPr>
                <w:rStyle w:val="VerbatimChar"/>
              </w:rPr>
              <w:t xml:space="preserve">STRUCT</w:t>
            </w:r>
            <w:r>
              <w:t xml:space="preserve">/</w:t>
            </w:r>
            <w:r>
              <w:rPr>
                <w:rStyle w:val="VerbatimChar"/>
              </w:rP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SQL serverless para OLAP y ML; la tabla anidada lee 48× menos bytes en análisis por segmento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Bigtable</w:t>
            </w:r>
          </w:p>
        </w:tc>
        <w:tc>
          <w:tcPr/>
          <w:p>
            <w:pPr>
              <w:pStyle w:val="Compact"/>
            </w:pPr>
            <w:r>
              <w:t xml:space="preserve">Últimos 7 días por medidor, clave</w:t>
            </w:r>
            <w:r>
              <w:t xml:space="preserve"> </w:t>
            </w:r>
            <w:r>
              <w:rPr>
                <w:rStyle w:val="VerbatimChar"/>
              </w:rPr>
              <w:t xml:space="preserve">medidor#ts</w:t>
            </w:r>
            <w:r>
              <w:t xml:space="preserve"> </w:t>
            </w:r>
            <w:r>
              <w:t xml:space="preserve">invertido</w:t>
            </w:r>
          </w:p>
        </w:tc>
        <w:tc>
          <w:tcPr/>
          <w:p>
            <w:pPr>
              <w:pStyle w:val="Compact"/>
            </w:pPr>
            <w:r>
              <w:t xml:space="preserve">Lecturas de milisegundos para 9 M usuarios de la app; BigQuery no está hecho para consultas puntuales masivas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Kafka</w:t>
            </w:r>
          </w:p>
        </w:tc>
        <w:tc>
          <w:tcPr/>
          <w:p>
            <w:pPr>
              <w:pStyle w:val="Compact"/>
            </w:pPr>
            <w:r>
              <w:t xml:space="preserve">Log de eventos de 7 días</w:t>
            </w:r>
          </w:p>
        </w:tc>
        <w:tc>
          <w:tcPr/>
          <w:p>
            <w:pPr>
              <w:pStyle w:val="Compact"/>
            </w:pPr>
            <w:r>
              <w:t xml:space="preserve">Buffer ante picos y caídas; permite reprocesar</w:t>
            </w:r>
          </w:p>
        </w:tc>
      </w:tr>
    </w:tbl>
    <w:bookmarkEnd w:id="35"/>
    <w:bookmarkEnd w:id="36"/>
    <w:bookmarkStart w:id="37" w:name="justificación-del-stack-tecnológico"/>
    <w:p>
      <w:pPr>
        <w:pStyle w:val="Heading1"/>
      </w:pPr>
      <w:r>
        <w:t xml:space="preserve">5. Justificación del stack tecnológico</w:t>
      </w:r>
    </w:p>
    <w:p>
      <w:pPr>
        <w:pStyle w:val="FirstParagraph"/>
      </w:pPr>
      <w:r>
        <w:t xml:space="preserve">Criterios: (1) APIs de código abierto exigidas por la RFP de Lumina, para evitar dependencia del proveedor; (2) servicios gestionados de GCP vistos en clase cuando quitan operación sin costo excesivo; (3) pago por uso para el batch, que es esporádico.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t xml:space="preserve">Elegido</w:t>
            </w:r>
          </w:p>
        </w:tc>
        <w:tc>
          <w:tcPr/>
          <w:p>
            <w:pPr>
              <w:pStyle w:val="Compact"/>
            </w:pPr>
            <w:r>
              <w:t xml:space="preserve">Alternativas evaluadas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 de eventos</w:t>
            </w:r>
          </w:p>
        </w:tc>
        <w:tc>
          <w:tcPr/>
          <w:p>
            <w:pPr>
              <w:pStyle w:val="Compact"/>
            </w:pPr>
            <w:r>
              <w:t xml:space="preserve">Managed Service for Apache Kafka</w:t>
            </w:r>
          </w:p>
        </w:tc>
        <w:tc>
          <w:tcPr/>
          <w:p>
            <w:pPr>
              <w:pStyle w:val="Compact"/>
            </w:pPr>
            <w:r>
              <w:t xml:space="preserve">Pub/Sub</w:t>
            </w:r>
          </w:p>
        </w:tc>
        <w:tc>
          <w:tcPr/>
          <w:p>
            <w:pPr>
              <w:pStyle w:val="Compact"/>
            </w:pPr>
            <w:r>
              <w:t xml:space="preserve">Pub/Sub es más simple, pero propietario; Kafka da orden por partición,</w:t>
            </w:r>
            <w:r>
              <w:t xml:space="preserve"> </w:t>
            </w:r>
            <w:r>
              <w:rPr>
                <w:i/>
                <w:iCs/>
              </w:rPr>
              <w:t xml:space="preserve">replay</w:t>
            </w:r>
            <w:r>
              <w:t xml:space="preserve"> </w:t>
            </w:r>
            <w:r>
              <w:t xml:space="preserve">y la API abierta que pide la RFP, ahora sin operar brokers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Procesamiento</w:t>
            </w:r>
          </w:p>
        </w:tc>
        <w:tc>
          <w:tcPr/>
          <w:p>
            <w:pPr>
              <w:pStyle w:val="Compact"/>
            </w:pPr>
            <w:r>
              <w:t xml:space="preserve">Apache Spark (streaming y batch)</w:t>
            </w:r>
          </w:p>
        </w:tc>
        <w:tc>
          <w:tcPr/>
          <w:p>
            <w:pPr>
              <w:pStyle w:val="Compact"/>
            </w:pPr>
            <w:r>
              <w:t xml:space="preserve">Dataflow (Apache Beam)</w:t>
            </w:r>
          </w:p>
        </w:tc>
        <w:tc>
          <w:tcPr/>
          <w:p>
            <w:pPr>
              <w:pStyle w:val="Compact"/>
            </w:pPr>
            <w:r>
              <w:t xml:space="preserve">Un solo motor y lenguaje para ambos caminos; Spark corre en cualquier nube; Dataflow ata el runner a Google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t xml:space="preserve">Spark serverless</w:t>
            </w:r>
          </w:p>
        </w:tc>
        <w:tc>
          <w:tcPr/>
          <w:p>
            <w:pPr>
              <w:pStyle w:val="Compact"/>
            </w:pPr>
            <w:r>
              <w:t xml:space="preserve">Clúster Dataproc permanente</w:t>
            </w:r>
          </w:p>
        </w:tc>
        <w:tc>
          <w:tcPr/>
          <w:p>
            <w:pPr>
              <w:pStyle w:val="Compact"/>
            </w:pPr>
            <w:r>
              <w:t xml:space="preserve">Se paga solo mientras corre: el histórico completo costó US$0.65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Warehouse</w:t>
            </w:r>
          </w:p>
        </w:tc>
        <w:tc>
          <w:tcPr/>
          <w:p>
            <w:pPr>
              <w:pStyle w:val="Compact"/>
            </w:pPr>
            <w:r>
              <w:t xml:space="preserve">BigQuery</w:t>
            </w:r>
          </w:p>
        </w:tc>
        <w:tc>
          <w:tcPr/>
          <w:p>
            <w:pPr>
              <w:pStyle w:val="Compact"/>
            </w:pPr>
            <w:r>
              <w:t xml:space="preserve">Bigtable, Spanner, Cloud SQL</w:t>
            </w:r>
          </w:p>
        </w:tc>
        <w:tc>
          <w:tcPr/>
          <w:p>
            <w:pPr>
              <w:pStyle w:val="Compact"/>
            </w:pPr>
            <w:r>
              <w:t xml:space="preserve">Columnar y serverless, con particiones, clustering,</w:t>
            </w:r>
            <w:r>
              <w:t xml:space="preserve"> </w:t>
            </w:r>
            <w:r>
              <w:rPr>
                <w:rStyle w:val="VerbatimChar"/>
              </w:rPr>
              <w:t xml:space="preserve">STRUCT</w:t>
            </w:r>
            <w:r>
              <w:t xml:space="preserve"> </w:t>
            </w:r>
            <w:r>
              <w:t xml:space="preserve">y BQML; 1 TB de consultas gratis al 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Serving por medidor</w:t>
            </w:r>
          </w:p>
        </w:tc>
        <w:tc>
          <w:tcPr/>
          <w:p>
            <w:pPr>
              <w:pStyle w:val="Compact"/>
            </w:pPr>
            <w:r>
              <w:t xml:space="preserve">Bigtable</w:t>
            </w:r>
          </w:p>
        </w:tc>
        <w:tc>
          <w:tcPr/>
          <w:p>
            <w:pPr>
              <w:pStyle w:val="Compact"/>
            </w:pPr>
            <w:r>
              <w:t xml:space="preserve">Memorystore, Cloud SQL</w:t>
            </w:r>
          </w:p>
        </w:tc>
        <w:tc>
          <w:tcPr/>
          <w:p>
            <w:pPr>
              <w:pStyle w:val="Compact"/>
            </w:pPr>
            <w:r>
              <w:t xml:space="preserve">Escala lineal por nodo y latencia de milisegundos para series de 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Orquestación</w:t>
            </w:r>
          </w:p>
        </w:tc>
        <w:tc>
          <w:tcPr/>
          <w:p>
            <w:pPr>
              <w:pStyle w:val="Compact"/>
            </w:pPr>
            <w:r>
              <w:t xml:space="preserve">Apache Airflow (Composer 3 en producción, VM en el taller)</w:t>
            </w:r>
          </w:p>
        </w:tc>
        <w:tc>
          <w:tcPr/>
          <w:p>
            <w:pPr>
              <w:pStyle w:val="Compact"/>
            </w:pPr>
            <w:r>
              <w:t xml:space="preserve">Cloud Workflows, Cloud Scheduler</w:t>
            </w:r>
          </w:p>
        </w:tc>
        <w:tc>
          <w:tcPr/>
          <w:p>
            <w:pPr>
              <w:pStyle w:val="Compact"/>
            </w:pPr>
            <w:r>
              <w:t xml:space="preserve">Estándar abierto; los mismos DAGs se mueven entre VM y Composer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Parquet (Iceberg como evolución)</w:t>
            </w:r>
          </w:p>
        </w:tc>
        <w:tc>
          <w:tcPr/>
          <w:p>
            <w:pPr>
              <w:pStyle w:val="Compact"/>
            </w:pPr>
            <w:r>
              <w:t xml:space="preserve">CSV, Avro</w:t>
            </w:r>
          </w:p>
        </w:tc>
        <w:tc>
          <w:tcPr/>
          <w:p>
            <w:pPr>
              <w:pStyle w:val="Compact"/>
            </w:pPr>
            <w:r>
              <w:t xml:space="preserve">Columnar y comprimido; lo leen Spark, BigQuery y pandas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Exposición</w:t>
            </w:r>
          </w:p>
        </w:tc>
        <w:tc>
          <w:tcPr/>
          <w:p>
            <w:pPr>
              <w:pStyle w:val="Compact"/>
            </w:pPr>
            <w:r>
              <w:t xml:space="preserve">Cloud Run + Looker Studio</w:t>
            </w:r>
          </w:p>
        </w:tc>
        <w:tc>
          <w:tcPr/>
          <w:p>
            <w:pPr>
              <w:pStyle w:val="Compact"/>
            </w:pPr>
            <w:r>
              <w:t xml:space="preserve">GKE, App Engine, Looker</w:t>
            </w:r>
          </w:p>
        </w:tc>
        <w:tc>
          <w:tcPr/>
          <w:p>
            <w:pPr>
              <w:pStyle w:val="Compact"/>
            </w:pPr>
            <w:r>
              <w:t xml:space="preserve">Escala a cero y sube con la demanda; Looker Studio es gratuito</w:t>
            </w:r>
          </w:p>
        </w:tc>
      </w:tr>
    </w:tbl>
    <w:bookmarkEnd w:id="37"/>
    <w:bookmarkStart w:id="41" w:name="escalabilidad-y-performance"/>
    <w:p>
      <w:pPr>
        <w:pStyle w:val="Heading1"/>
      </w:pPr>
      <w:r>
        <w:t xml:space="preserve">6. Escalabilidad y performance</w:t>
      </w:r>
    </w:p>
    <w:bookmarkStart w:id="38" w:name="modelo-de-carga"/>
    <w:p>
      <w:pPr>
        <w:pStyle w:val="Heading2"/>
      </w:pPr>
      <w:r>
        <w:t xml:space="preserve">6.1 Modelo de carga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Base (30 min)</w:t>
            </w:r>
          </w:p>
        </w:tc>
        <w:tc>
          <w:tcPr/>
          <w:p>
            <w:pPr>
              <w:pStyle w:val="Compact"/>
            </w:pPr>
            <w:r>
              <w:t xml:space="preserve">Crecimiento (1 min)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Medidores</w:t>
            </w:r>
          </w:p>
        </w:tc>
        <w:tc>
          <w:tcPr/>
          <w:p>
            <w:pPr>
              <w:pStyle w:val="Compact"/>
            </w:pPr>
            <w:r>
              <w:t xml:space="preserve">8.0 M (89 % de 9 M clientes)</w:t>
            </w:r>
          </w:p>
        </w:tc>
        <w:tc>
          <w:tcPr/>
          <w:p>
            <w:pPr>
              <w:pStyle w:val="Compact"/>
            </w:pPr>
            <w:r>
              <w:t xml:space="preserve">8.0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Lecturas por día</w:t>
            </w:r>
          </w:p>
        </w:tc>
        <w:tc>
          <w:tcPr/>
          <w:p>
            <w:pPr>
              <w:pStyle w:val="Compact"/>
            </w:pPr>
            <w:r>
              <w:t xml:space="preserve">384 M</w:t>
            </w:r>
          </w:p>
        </w:tc>
        <w:tc>
          <w:tcPr/>
          <w:p>
            <w:pPr>
              <w:pStyle w:val="Compact"/>
            </w:pPr>
            <w:r>
              <w:t xml:space="preserve">11,534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Eventos por segundo, promedio</w:t>
            </w:r>
          </w:p>
        </w:tc>
        <w:tc>
          <w:tcPr/>
          <w:p>
            <w:pPr>
              <w:pStyle w:val="Compact"/>
            </w:pPr>
            <w:r>
              <w:t xml:space="preserve">4.4 k</w:t>
            </w:r>
          </w:p>
        </w:tc>
        <w:tc>
          <w:tcPr/>
          <w:p>
            <w:pPr>
              <w:pStyle w:val="Compact"/>
            </w:pPr>
            <w:r>
              <w:t xml:space="preserve">133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Ráfaga si todos los medidores envían en el mismo minuto</w:t>
            </w:r>
          </w:p>
        </w:tc>
        <w:tc>
          <w:tcPr/>
          <w:p>
            <w:pPr>
              <w:pStyle w:val="Compact"/>
            </w:pPr>
            <w:r>
              <w:t xml:space="preserve">133 k/s (≈ 13 MB/s)</w:t>
            </w:r>
          </w:p>
        </w:tc>
        <w:tc>
          <w:tcPr/>
          <w:p>
            <w:pPr>
              <w:pStyle w:val="Compact"/>
            </w:pPr>
            <w:r>
              <w:t xml:space="preserve">1.3 M/s (≈ 134 MB/s)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Volumen anual en el lake (raw + silver + gold)</w:t>
            </w:r>
          </w:p>
        </w:tc>
        <w:tc>
          <w:tcPr/>
          <w:p>
            <w:pPr>
              <w:pStyle w:val="Compact"/>
            </w:pPr>
            <w:r>
              <w:t xml:space="preserve">3.7 TB</w:t>
            </w:r>
          </w:p>
        </w:tc>
        <w:tc>
          <w:tcPr/>
          <w:p>
            <w:pPr>
              <w:pStyle w:val="Compact"/>
            </w:pPr>
            <w:r>
              <w:t xml:space="preserve">110 TB</w:t>
            </w:r>
          </w:p>
        </w:tc>
      </w:tr>
    </w:tbl>
    <w:bookmarkEnd w:id="38"/>
    <w:bookmarkStart w:id="39" w:name="el-black-friday-de-una-red-eléctrica"/>
    <w:p>
      <w:pPr>
        <w:pStyle w:val="Heading2"/>
      </w:pPr>
      <w:r>
        <w:t xml:space="preserve">6.2 El</w:t>
      </w:r>
      <w:r>
        <w:t xml:space="preserve"> </w:t>
      </w:r>
      <w:r>
        <w:t xml:space="preserve">“Black Friday”</w:t>
      </w:r>
      <w:r>
        <w:t xml:space="preserve"> </w:t>
      </w:r>
      <w:r>
        <w:t xml:space="preserve">de una red eléctrica</w:t>
      </w:r>
    </w:p>
    <w:p>
      <w:pPr>
        <w:pStyle w:val="FirstParagraph"/>
      </w:pPr>
      <w:r>
        <w:t xml:space="preserve">En retail el pico es de transacciones. En una red, el</w:t>
      </w:r>
      <w:r>
        <w:t xml:space="preserve"> </w:t>
      </w:r>
      <w:r>
        <w:rPr>
          <w:b/>
          <w:bCs/>
        </w:rPr>
        <w:t xml:space="preserve">número de lecturas no sube</w:t>
      </w:r>
      <w:r>
        <w:t xml:space="preserve"> </w:t>
      </w:r>
      <w:r>
        <w:t xml:space="preserve">(depende de cuántos medidores hay y cada cuánto leen). Lo que sube en una ola de frío 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carga eléctrica.</w:t>
      </w:r>
      <w:r>
        <w:t xml:space="preserve"> </w:t>
      </w:r>
      <w:r>
        <w:t xml:space="preserve">En los datos del caso la hora punta supera al promedio diario en 39 % (el máximo de media hora, en 54 %), y en el 5 % de días más fríos cada hogar consume 33 % más. Esto multiplica las</w:t>
      </w:r>
      <w:r>
        <w:t xml:space="preserve"> </w:t>
      </w:r>
      <w:r>
        <w:rPr>
          <w:b/>
          <w:bCs/>
        </w:rPr>
        <w:t xml:space="preserve">alertas</w:t>
      </w:r>
      <w:r>
        <w:t xml:space="preserve"> </w:t>
      </w:r>
      <w:r>
        <w:t xml:space="preserve">y los</w:t>
      </w:r>
      <w:r>
        <w:t xml:space="preserve"> </w:t>
      </w:r>
      <w:r>
        <w:rPr>
          <w:b/>
          <w:bCs/>
        </w:rPr>
        <w:t xml:space="preserve">eventos de respuesta a la demanda</w:t>
      </w:r>
      <w:r>
        <w:t xml:space="preserve"> </w:t>
      </w:r>
      <w:r>
        <w:t xml:space="preserve">que el streaming debe emitir.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Las consultas de la app.</w:t>
      </w:r>
      <w:r>
        <w:t xml:space="preserve"> </w:t>
      </w:r>
      <w:r>
        <w:t xml:space="preserve">Los clientes revisan su consumo y su costo; se asume hasta 3× el tráfico normal.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Las ráfagas de reconexión.</w:t>
      </w:r>
      <w:r>
        <w:t xml:space="preserve"> </w:t>
      </w:r>
      <w:r>
        <w:t xml:space="preserve">Tras un corte, los concentradores reenvían de golpe las horas acumuladas.</w:t>
      </w:r>
    </w:p>
    <w:bookmarkEnd w:id="39"/>
    <w:bookmarkStart w:id="40" w:name="cómo-escala-cada-capa"/>
    <w:p>
      <w:pPr>
        <w:pStyle w:val="Heading2"/>
      </w:pPr>
      <w:r>
        <w:t xml:space="preserve">6.3 Cómo escala cada capa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t xml:space="preserve">Frente al 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Ingesta</w:t>
            </w:r>
          </w:p>
        </w:tc>
        <w:tc>
          <w:tcPr/>
          <w:p>
            <w:pPr>
              <w:pStyle w:val="Compact"/>
            </w:pPr>
            <w:r>
              <w:t xml:space="preserve">Particiones de Kafka por medidor; más vCPU por cada ~15 MB/s</w:t>
            </w:r>
          </w:p>
        </w:tc>
        <w:tc>
          <w:tcPr/>
          <w:p>
            <w:pPr>
              <w:pStyle w:val="Compact"/>
            </w:pPr>
            <w:r>
              <w:t xml:space="preserve">Kafka absorbe ráfagas y reenvíos; los consumidores se ponen al día sin perder datos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Cómputo streaming</w:t>
            </w:r>
          </w:p>
        </w:tc>
        <w:tc>
          <w:tcPr/>
          <w:p>
            <w:pPr>
              <w:pStyle w:val="Compact"/>
            </w:pPr>
            <w:r>
              <w:t xml:space="preserve">Ejecutores de Spark con asignación dinámica;</w:t>
            </w:r>
            <w:r>
              <w:t xml:space="preserve"> </w:t>
            </w:r>
            <w:r>
              <w:rPr>
                <w:i/>
                <w:iCs/>
              </w:rPr>
              <w:t xml:space="preserve">watermark</w:t>
            </w:r>
            <w:r>
              <w:t xml:space="preserve"> </w:t>
            </w:r>
            <w:r>
              <w:t xml:space="preserve">para datos tardíos</w:t>
            </w:r>
          </w:p>
        </w:tc>
        <w:tc>
          <w:tcPr/>
          <w:p>
            <w:pPr>
              <w:pStyle w:val="Compact"/>
            </w:pPr>
            <w:r>
              <w:t xml:space="preserve">Un nodo de 4 vCPU adicional por cada ~20 MB/s de ráfaga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Cómputo batch</w:t>
            </w:r>
          </w:p>
        </w:tc>
        <w:tc>
          <w:tcPr/>
          <w:p>
            <w:pPr>
              <w:pStyle w:val="Compact"/>
            </w:pPr>
            <w:r>
              <w:t xml:space="preserve">Spark serverless escala ejecutores por job</w:t>
            </w:r>
          </w:p>
        </w:tc>
        <w:tc>
          <w:tcPr/>
          <w:p>
            <w:pPr>
              <w:pStyle w:val="Compact"/>
            </w:pPr>
            <w:r>
              <w:t xml:space="preserve">Medido en el prototipo: ~264 k lecturas/s con 20 DCU; un día de producción (384 M) toma ~25 min con 20 DCU o ~5 min con 100 DCU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BigQuery particionado y clusterizado; Bigtable agrega nodos en línea</w:t>
            </w:r>
          </w:p>
        </w:tc>
        <w:tc>
          <w:tcPr/>
          <w:p>
            <w:pPr>
              <w:pStyle w:val="Compact"/>
            </w:pPr>
            <w:r>
              <w:t xml:space="preserve">Las consultas leen solo la partición y el medidor pedidos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Exposición</w:t>
            </w:r>
          </w:p>
        </w:tc>
        <w:tc>
          <w:tcPr/>
          <w:p>
            <w:pPr>
              <w:pStyle w:val="Compact"/>
            </w:pPr>
            <w:r>
              <w:t xml:space="preserve">Cloud Run autoescala por concurrencia; Looker Studio sobre tablas agregadas</w:t>
            </w:r>
          </w:p>
        </w:tc>
        <w:tc>
          <w:tcPr/>
          <w:p>
            <w:pPr>
              <w:pStyle w:val="Compact"/>
            </w:pPr>
            <w:r>
              <w:t xml:space="preserve">3× de tráfico se cubre con más instancias, sin tocar el warehouse</w:t>
            </w:r>
          </w:p>
        </w:tc>
      </w:tr>
    </w:tbl>
    <w:p>
      <w:pPr>
        <w:pStyle w:val="BodyText"/>
      </w:pPr>
      <w:r>
        <w:rPr>
          <w:b/>
          <w:bCs/>
        </w:rPr>
        <w:t xml:space="preserve">Escalar a otras regiones metropolitanas:</w:t>
      </w:r>
      <w:r>
        <w:t xml:space="preserve"> </w:t>
      </w:r>
      <w:r>
        <w:t xml:space="preserve">cada metrópoli es un prefijo de tópicos, un conjunto de particiones y un valor de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 </w:t>
      </w:r>
      <w:r>
        <w:t xml:space="preserve">en las tablas (particiones o datasets separados); el código no cambia.</w:t>
      </w:r>
    </w:p>
    <w:bookmarkEnd w:id="40"/>
    <w:bookmarkEnd w:id="41"/>
    <w:bookmarkStart w:id="48" w:name="Xe588ac3521b1fb8b4cb5e84ace2a581ac766eef"/>
    <w:p>
      <w:pPr>
        <w:pStyle w:val="Heading1"/>
      </w:pPr>
      <w:r>
        <w:t xml:space="preserve">7. Justificación económica y optimización de costos</w:t>
      </w:r>
    </w:p>
    <w:bookmarkStart w:id="44" w:name="X4b9e767322845a47294bc1db8f9c956c5e449e8"/>
    <w:p>
      <w:pPr>
        <w:pStyle w:val="Heading2"/>
      </w:pPr>
      <w:r>
        <w:t xml:space="preserve">7.1 Calculadora de consumo del primer año (producción)</w:t>
      </w:r>
    </w:p>
    <w:p>
      <w:pPr>
        <w:pStyle w:val="FirstParagraph"/>
      </w:pPr>
      <w:r>
        <w:t xml:space="preserve">Supuestos: 8 M medidores, retención de 7 días en Kafka, 10 TiB/mes de consultas OLAP, 30 M requests/mes a la API. El almacenamiento crece linealmente durante el año. El script</w:t>
      </w:r>
      <w:r>
        <w:t xml:space="preserve"> </w:t>
      </w:r>
      <w:r>
        <w:rPr>
          <w:rStyle w:val="VerbatimChar"/>
        </w:rPr>
        <w:t xml:space="preserve">src/costos/calculadora_consumo.py</w:t>
      </w:r>
      <w:r>
        <w:t xml:space="preserve"> </w:t>
      </w:r>
      <w:r>
        <w:t xml:space="preserve">regenera estas tablas al cambiar un supuesto.</w:t>
      </w:r>
    </w:p>
    <w:bookmarkStart w:id="42" w:name="escenario-base-lectura-cada-30-min"/>
    <w:p>
      <w:pPr>
        <w:pStyle w:val="Heading3"/>
      </w:pPr>
      <w:r>
        <w:t xml:space="preserve">7.1.1 Escenario base: lectura cada 30 min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Dimensionamiento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USD primer año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Ingesta</w:t>
            </w:r>
          </w:p>
        </w:tc>
        <w:tc>
          <w:tcPr/>
          <w:p>
            <w:pPr>
              <w:pStyle w:val="Compact"/>
            </w:pPr>
            <w:r>
              <w:t xml:space="preserve">Managed Service for Apache Kafka</w:t>
            </w:r>
          </w:p>
        </w:tc>
        <w:tc>
          <w:tcPr/>
          <w:p>
            <w:pPr>
              <w:pStyle w:val="Compact"/>
            </w:pPr>
            <w:r>
              <w:t xml:space="preserve">3 vCPU, RF=3, 7 días; 0.4 MB/s prom., 4 MB/s pico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Cómputo</w:t>
            </w:r>
          </w:p>
        </w:tc>
        <w:tc>
          <w:tcPr/>
          <w:p>
            <w:pPr>
              <w:pStyle w:val="Compact"/>
            </w:pPr>
            <w:r>
              <w:t xml:space="preserve">Spark Structured Streaming (Dataproc, 24/7)</w:t>
            </w:r>
          </w:p>
        </w:tc>
        <w:tc>
          <w:tcPr/>
          <w:p>
            <w:pPr>
              <w:pStyle w:val="Compact"/>
            </w:pPr>
            <w:r>
              <w:t xml:space="preserve">3 nodos n2-standard-4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6,155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Cómputo</w:t>
            </w:r>
          </w:p>
        </w:tc>
        <w:tc>
          <w:tcPr/>
          <w:p>
            <w:pPr>
              <w:pStyle w:val="Compact"/>
            </w:pPr>
            <w:r>
              <w:t xml:space="preserve">Spark batch serverless (diario)</w:t>
            </w:r>
          </w:p>
        </w:tc>
        <w:tc>
          <w:tcPr/>
          <w:p>
            <w:pPr>
              <w:pStyle w:val="Compact"/>
            </w:pPr>
            <w:r>
              <w:t xml:space="preserve">384 M lecturas/día × 0.064 DCU-h/M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Cloud Storage (lake raw + curated dual-region)</w:t>
            </w:r>
          </w:p>
        </w:tc>
        <w:tc>
          <w:tcPr/>
          <w:p>
            <w:pPr>
              <w:pStyle w:val="Compact"/>
            </w:pPr>
            <w:r>
              <w:t xml:space="preserve">3.7 TB al cierre del año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BigQuery almacenamiento</w:t>
            </w:r>
          </w:p>
        </w:tc>
        <w:tc>
          <w:tcPr/>
          <w:p>
            <w:pPr>
              <w:pStyle w:val="Compact"/>
            </w:pPr>
            <w:r>
              <w:t xml:space="preserve">detalle 30 min + 15 % de agregados, crecimiento lineal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Bigtable (serving app, 2 clústeres)</w:t>
            </w:r>
          </w:p>
        </w:tc>
        <w:tc>
          <w:tcPr/>
          <w:p>
            <w:pPr>
              <w:pStyle w:val="Compact"/>
            </w:pPr>
            <w:r>
              <w:t xml:space="preserve">2 nodos, 251 GiB SSD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11,899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Exposición</w:t>
            </w:r>
          </w:p>
        </w:tc>
        <w:tc>
          <w:tcPr/>
          <w:p>
            <w:pPr>
              <w:pStyle w:val="Compact"/>
            </w:pPr>
            <w:r>
              <w:t xml:space="preserve">BigQuery consultas (OLAP / Looker Studio)</w:t>
            </w:r>
          </w:p>
        </w:tc>
        <w:tc>
          <w:tcPr/>
          <w:p>
            <w:pPr>
              <w:pStyle w:val="Compact"/>
            </w:pPr>
            <w:r>
              <w:t xml:space="preserve">10 TiB/mes on-demand (1 TiB gratis)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Exposición</w:t>
            </w:r>
          </w:p>
        </w:tc>
        <w:tc>
          <w:tcPr/>
          <w:p>
            <w:pPr>
              <w:pStyle w:val="Compact"/>
            </w:pPr>
            <w:r>
              <w:t xml:space="preserve">Cloud Run (API REST/WebSocket)</w:t>
            </w:r>
          </w:p>
        </w:tc>
        <w:tc>
          <w:tcPr/>
          <w:p>
            <w:pPr>
              <w:pStyle w:val="Compact"/>
            </w:pPr>
            <w:r>
              <w:t xml:space="preserve">30 M requests/mes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t xml:space="preserve">Managed Service for Apache Airflow (Composer 3)</w:t>
            </w:r>
          </w:p>
        </w:tc>
        <w:tc>
          <w:tcPr/>
          <w:p>
            <w:pPr>
              <w:pStyle w:val="Compact"/>
            </w:pPr>
            <w:r>
              <w:t xml:space="preserve">entorno pequeño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t xml:space="preserve">Logging, Monitoring y egreso</w:t>
            </w:r>
          </w:p>
        </w:tc>
        <w:tc>
          <w:tcPr/>
          <w:p>
            <w:pPr>
              <w:pStyle w:val="Compact"/>
            </w:pPr>
            <w:r>
              <w:t xml:space="preserve">200 GiB logs/mes, 150 GB egreso/mes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29,238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 unitaria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Lecturas por día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por medidor al 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US$0.0003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por millón de lecturas procesadas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US$0.208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de plataforma por MWh distribuido (30.1 TWh/año)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US$0.0010</w:t>
            </w:r>
          </w:p>
        </w:tc>
      </w:tr>
    </w:tbl>
    <w:bookmarkEnd w:id="42"/>
    <w:bookmarkStart w:id="43" w:name="Xa9c18dc3cc4972546d113df84305e90363da2e3"/>
    <w:p>
      <w:pPr>
        <w:pStyle w:val="Heading3"/>
      </w:pPr>
      <w:r>
        <w:t xml:space="preserve">7.1.2 Escenario de crecimiento: lectura cada 1 min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Dimensionamiento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USD primer año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Ingesta</w:t>
            </w:r>
          </w:p>
        </w:tc>
        <w:tc>
          <w:tcPr/>
          <w:p>
            <w:pPr>
              <w:pStyle w:val="Compact"/>
            </w:pPr>
            <w:r>
              <w:t xml:space="preserve">Managed Service for Apache Kafka</w:t>
            </w:r>
          </w:p>
        </w:tc>
        <w:tc>
          <w:tcPr/>
          <w:p>
            <w:pPr>
              <w:pStyle w:val="Compact"/>
            </w:pPr>
            <w:r>
              <w:t xml:space="preserve">9 vCPU, RF=3, 7 días; 13.3 MB/s prom., 134 MB/s pico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30,273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Cómputo</w:t>
            </w:r>
          </w:p>
        </w:tc>
        <w:tc>
          <w:tcPr/>
          <w:p>
            <w:pPr>
              <w:pStyle w:val="Compact"/>
            </w:pPr>
            <w:r>
              <w:t xml:space="preserve">Spark Structured Streaming (Dataproc, 24/7)</w:t>
            </w:r>
          </w:p>
        </w:tc>
        <w:tc>
          <w:tcPr/>
          <w:p>
            <w:pPr>
              <w:pStyle w:val="Compact"/>
            </w:pPr>
            <w:r>
              <w:t xml:space="preserve">10 nodos n2-standard-4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20,516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Cómputo</w:t>
            </w:r>
          </w:p>
        </w:tc>
        <w:tc>
          <w:tcPr/>
          <w:p>
            <w:pPr>
              <w:pStyle w:val="Compact"/>
            </w:pPr>
            <w:r>
              <w:t xml:space="preserve">Spark batch serverless (diario)</w:t>
            </w:r>
          </w:p>
        </w:tc>
        <w:tc>
          <w:tcPr/>
          <w:p>
            <w:pPr>
              <w:pStyle w:val="Compact"/>
            </w:pPr>
            <w:r>
              <w:t xml:space="preserve">11,534 M lecturas/día × 0.064 DCU-h/M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Cloud Storage (lake raw + curated dual-region)</w:t>
            </w:r>
          </w:p>
        </w:tc>
        <w:tc>
          <w:tcPr/>
          <w:p>
            <w:pPr>
              <w:pStyle w:val="Compact"/>
            </w:pPr>
            <w:r>
              <w:t xml:space="preserve">110.3 TB al cierre del año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19,243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BigQuery almacenamiento</w:t>
            </w:r>
          </w:p>
        </w:tc>
        <w:tc>
          <w:tcPr/>
          <w:p>
            <w:pPr>
              <w:pStyle w:val="Compact"/>
            </w:pPr>
            <w:r>
              <w:t xml:space="preserve">detalle 1 min solo 90 días + agregados 30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Bigtable (serving app, 2 clústeres)</w:t>
            </w:r>
          </w:p>
        </w:tc>
        <w:tc>
          <w:tcPr/>
          <w:p>
            <w:pPr>
              <w:pStyle w:val="Compact"/>
            </w:pPr>
            <w:r>
              <w:t xml:space="preserve">6 nodos, 7,520 GiB SSD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Exposición</w:t>
            </w:r>
          </w:p>
        </w:tc>
        <w:tc>
          <w:tcPr/>
          <w:p>
            <w:pPr>
              <w:pStyle w:val="Compact"/>
            </w:pPr>
            <w:r>
              <w:t xml:space="preserve">BigQuery consultas (OLAP / Looker Studio)</w:t>
            </w:r>
          </w:p>
        </w:tc>
        <w:tc>
          <w:tcPr/>
          <w:p>
            <w:pPr>
              <w:pStyle w:val="Compact"/>
            </w:pPr>
            <w:r>
              <w:t xml:space="preserve">10 TiB/mes on-demand (1 TiB gratis)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Exposición</w:t>
            </w:r>
          </w:p>
        </w:tc>
        <w:tc>
          <w:tcPr/>
          <w:p>
            <w:pPr>
              <w:pStyle w:val="Compact"/>
            </w:pPr>
            <w:r>
              <w:t xml:space="preserve">Cloud Run (API REST/WebSocket)</w:t>
            </w:r>
          </w:p>
        </w:tc>
        <w:tc>
          <w:tcPr/>
          <w:p>
            <w:pPr>
              <w:pStyle w:val="Compact"/>
            </w:pPr>
            <w:r>
              <w:t xml:space="preserve">30 M requests/mes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t xml:space="preserve">Managed Service for Apache Airflow (Composer 3)</w:t>
            </w:r>
          </w:p>
        </w:tc>
        <w:tc>
          <w:tcPr/>
          <w:p>
            <w:pPr>
              <w:pStyle w:val="Compact"/>
            </w:pPr>
            <w:r>
              <w:t xml:space="preserve">entorno pequeño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t xml:space="preserve">Logging, Monitoring y egreso</w:t>
            </w:r>
          </w:p>
        </w:tc>
        <w:tc>
          <w:tcPr/>
          <w:p>
            <w:pPr>
              <w:pStyle w:val="Compact"/>
            </w:pPr>
            <w:r>
              <w:t xml:space="preserve">200 GiB logs/mes, 150 GB egreso/mes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156,994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 unitaria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Lecturas por día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11,534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por medidor al 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US$0.0016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por millón de lecturas procesadas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US$0.037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de plataforma por MWh distribuido (30.1 TWh/año)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US$0.0052</w:t>
            </w:r>
          </w:p>
        </w:tc>
      </w:tr>
    </w:tbl>
    <w:bookmarkEnd w:id="43"/>
    <w:bookmarkEnd w:id="44"/>
    <w:bookmarkStart w:id="45" w:name="lectura-de-las-cifras"/>
    <w:p>
      <w:pPr>
        <w:pStyle w:val="Heading2"/>
      </w:pPr>
      <w:r>
        <w:t xml:space="preserve">7.2 Lectura de las cifras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El costo por lectura baja al crecer.</w:t>
      </w:r>
      <w:r>
        <w:t xml:space="preserve"> </w:t>
      </w:r>
      <w:r>
        <w:t xml:space="preserve">Pasar a 1 min multiplica las lecturas por 30 pero el costo por 5.4, porque los componentes fijos (Composer, API, consultas) se reparten entre más datos.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El costo de plataforma es despreciable frente a la energía.</w:t>
      </w:r>
      <w:r>
        <w:t xml:space="preserve"> </w:t>
      </w:r>
      <w:r>
        <w:t xml:space="preserve">US$0.001 por MWh distribuido equivale a alrededor de 0.001 % de un precio mayorista típico de US$80/MWh.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El mayor rubro es Bigtable</w:t>
      </w:r>
      <w:r>
        <w:t xml:space="preserve">, por servir 9 M de usuarios con latencia de milisegundos; si la app tolera segundos, puede sustituirse por BigQuery con BI Engine y el total baja ~40 %.</w:t>
      </w:r>
    </w:p>
    <w:bookmarkEnd w:id="45"/>
    <w:bookmarkStart w:id="46" w:name="palancas-de-optimización-aplicadas"/>
    <w:p>
      <w:pPr>
        <w:pStyle w:val="Heading2"/>
      </w:pPr>
      <w:r>
        <w:t xml:space="preserve">7.3 Palancas de optimización aplicadas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Palanca</w:t>
            </w:r>
          </w:p>
        </w:tc>
        <w:tc>
          <w:tcPr/>
          <w:p>
            <w:pPr>
              <w:pStyle w:val="Compact"/>
            </w:pPr>
            <w:r>
              <w:t xml:space="preserve">Ahorro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serverless en vez de clúster permanente</w:t>
            </w:r>
          </w:p>
        </w:tc>
        <w:tc>
          <w:tcPr/>
          <w:p>
            <w:pPr>
              <w:pStyle w:val="Compact"/>
            </w:pPr>
            <w:r>
              <w:t xml:space="preserve">Se paga solo durante el job (prototipo: US$0.65 por todo el histórico)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Parquet en vez de CSV</w:t>
            </w:r>
          </w:p>
        </w:tc>
        <w:tc>
          <w:tcPr/>
          <w:p>
            <w:pPr>
              <w:pStyle w:val="Compact"/>
            </w:pPr>
            <w:r>
              <w:t xml:space="preserve">6× menos almacenamiento y lectura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Partición por día + clustering por medidor</w:t>
            </w:r>
          </w:p>
        </w:tc>
        <w:tc>
          <w:tcPr/>
          <w:p>
            <w:pPr>
              <w:pStyle w:val="Compact"/>
            </w:pPr>
            <w:r>
              <w:t xml:space="preserve">Las consultas por medidor y rango leen solo lo necesario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Tabla anidada con</w:t>
            </w:r>
            <w:r>
              <w:t xml:space="preserve"> </w:t>
            </w:r>
            <w:r>
              <w:rPr>
                <w:rStyle w:val="VerbatimChar"/>
              </w:rPr>
              <w:t xml:space="preserve">STRUCT</w:t>
            </w:r>
            <w:r>
              <w:t xml:space="preserve">/</w:t>
            </w:r>
            <w:r>
              <w:rPr>
                <w:rStyle w:val="VerbatimChar"/>
              </w:rPr>
              <w:t xml:space="preserve">ARRAY</w:t>
            </w:r>
            <w:r>
              <w:t xml:space="preserve"> </w:t>
            </w:r>
            <w:r>
              <w:t xml:space="preserve">para análisis por medidor-día</w:t>
            </w:r>
          </w:p>
        </w:tc>
        <w:tc>
          <w:tcPr/>
          <w:p>
            <w:pPr>
              <w:pStyle w:val="Compact"/>
            </w:pPr>
            <w:r>
              <w:t xml:space="preserve">48× menos bytes en la consulta por segmento Acorn (4.3 GB → 91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1 min, detalle en BigQuery solo 90 días; histórico en el lake</w:t>
            </w:r>
          </w:p>
        </w:tc>
        <w:tc>
          <w:tcPr/>
          <w:p>
            <w:pPr>
              <w:pStyle w:val="Compact"/>
            </w:pPr>
            <w:r>
              <w:t xml:space="preserve">Evita ~200 TB en el warehouse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Ciclo de vida GCS (Nearline/Coldline para raw antiguo) y descuentos por uso comprometido en Kafka y Bigtable</w:t>
            </w:r>
          </w:p>
        </w:tc>
        <w:tc>
          <w:tcPr/>
          <w:p>
            <w:pPr>
              <w:pStyle w:val="Compact"/>
            </w:pPr>
            <w:r>
              <w:t xml:space="preserve">20–50 % en esos rubros (no incluido en la calculadora)</w:t>
            </w:r>
          </w:p>
        </w:tc>
      </w:tr>
    </w:tbl>
    <w:bookmarkEnd w:id="46"/>
    <w:bookmarkStart w:id="47" w:name="valor-para-el-negocio"/>
    <w:p>
      <w:pPr>
        <w:pStyle w:val="Heading2"/>
      </w:pPr>
      <w:r>
        <w:t xml:space="preserve">7.4 Valor para el negocio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Reducción del pico (ilustrativo).</w:t>
      </w:r>
      <w:r>
        <w:t xml:space="preserve"> </w:t>
      </w:r>
      <w:r>
        <w:t xml:space="preserve">Con un consumo medio de 0.43 kW por hogar y la punta 39 % sobre el promedio, la punta agregada es ≈ 4.8 GW. Recortar 5 % evita ≈ 240 MW de compras de emergencia. Con una prima supuesta de US$100/MWh durante 4 h en 90 días de invierno, son ≈ US$8.6 M al año, unas 290 veces el costo de la plataforma.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Tarifa dinámica frente a fija.</w:t>
      </w:r>
      <w:r>
        <w:t xml:space="preserve"> </w:t>
      </w:r>
      <w:r>
        <w:t xml:space="preserve">El ensayo Low Carbon London (2013) usó tres precios dToU (alto, normal y bajo) contra una tarifa plana. La Fase 4 calculará la factura de cada hogar ToU con el calendario de eventos de 2013 y la comparará con lo que habría pagado en tarifa fija. Dato preliminar, sin control por segmento: los hogares ToU consumen 9.50 kWh/día frente a 10.28 de los de tarifa estándar (−7.6 %).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Costo operativo por kWh.</w:t>
      </w:r>
      <w:r>
        <w:t xml:space="preserve"> </w:t>
      </w:r>
      <w:r>
        <w:t xml:space="preserve">Se reportará en Looker Studio como (costo de plataforma + compras de emergencia evitadas) / kWh distribuido, por zona y mes.</w:t>
      </w:r>
    </w:p>
    <w:bookmarkEnd w:id="47"/>
    <w:bookmarkEnd w:id="48"/>
    <w:bookmarkStart w:id="52" w:name="Xd9a7a9e19942aaec592af67dda9c969670bacca"/>
    <w:p>
      <w:pPr>
        <w:pStyle w:val="Heading1"/>
      </w:pPr>
      <w:r>
        <w:t xml:space="preserve">8. Plan de recuperación y alta disponibilidad (DRP/HA)</w:t>
      </w:r>
    </w:p>
    <w:bookmarkStart w:id="49" w:name="objetivos-por-nivel-de-servicio"/>
    <w:p>
      <w:pPr>
        <w:pStyle w:val="Heading2"/>
      </w:pPr>
      <w:r>
        <w:t xml:space="preserve">8.1 Objetivos por nivel de servicio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RPO (datos que se pueden perder)</w:t>
            </w:r>
          </w:p>
        </w:tc>
        <w:tc>
          <w:tcPr/>
          <w:p>
            <w:pPr>
              <w:pStyle w:val="Compact"/>
            </w:pPr>
            <w:r>
              <w:t xml:space="preserve">RTO (tiempo para volver)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Ingesta de lecturas</w:t>
            </w:r>
          </w:p>
        </w:tc>
        <w:tc>
          <w:tcPr/>
          <w:p>
            <w:pPr>
              <w:pStyle w:val="Compact"/>
            </w:pPr>
            <w:r>
              <w:t xml:space="preserve">0: el medidor guarda sus lecturas y el concentrador las reenvía</w:t>
            </w:r>
          </w:p>
        </w:tc>
        <w:tc>
          <w:tcPr/>
          <w:p>
            <w:pPr>
              <w:pStyle w:val="Compact"/>
            </w:pPr>
            <w:r>
              <w:t xml:space="preserve">&lt; 1 min ante fallo de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Alertas y respuesta a la demanda</w:t>
            </w:r>
          </w:p>
        </w:tc>
        <w:tc>
          <w:tcPr/>
          <w:p>
            <w:pPr>
              <w:pStyle w:val="Compact"/>
            </w:pPr>
            <w:r>
              <w:t xml:space="preserve">0 (se reprocesa desde Kafka)</w:t>
            </w:r>
          </w:p>
        </w:tc>
        <w:tc>
          <w:tcPr/>
          <w:p>
            <w:pPr>
              <w:pStyle w:val="Compact"/>
            </w:pPr>
            <w:r>
              <w:t xml:space="preserve">&lt; 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de clientes (consumo en vivo)</w:t>
            </w:r>
          </w:p>
        </w:tc>
        <w:tc>
          <w:tcPr/>
          <w:p>
            <w:pPr>
              <w:pStyle w:val="Compact"/>
            </w:pPr>
            <w:r>
              <w:t xml:space="preserve">≤ 1 min</w:t>
            </w:r>
          </w:p>
        </w:tc>
        <w:tc>
          <w:tcPr/>
          <w:p>
            <w:pPr>
              <w:pStyle w:val="Compact"/>
            </w:pPr>
            <w:r>
              <w:t xml:space="preserve">&lt; 1 min (zona), &lt; 1 h (región)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Informes OLAP y pronóstico D+1</w:t>
            </w:r>
          </w:p>
        </w:tc>
        <w:tc>
          <w:tcPr/>
          <w:p>
            <w:pPr>
              <w:pStyle w:val="Compact"/>
            </w:pPr>
            <w:r>
              <w:t xml:space="preserve">≤ 24 h</w:t>
            </w:r>
          </w:p>
        </w:tc>
        <w:tc>
          <w:tcPr/>
          <w:p>
            <w:pPr>
              <w:pStyle w:val="Compact"/>
            </w:pPr>
            <w:r>
              <w:t xml:space="preserve">&lt; 4 h</w:t>
            </w:r>
          </w:p>
        </w:tc>
      </w:tr>
    </w:tbl>
    <w:bookmarkEnd w:id="49"/>
    <w:bookmarkStart w:id="50" w:name="componentes-fallas-y-mitigación"/>
    <w:p>
      <w:pPr>
        <w:pStyle w:val="Heading2"/>
      </w:pPr>
      <w:r>
        <w:t xml:space="preserve">8.2 Componentes, fallas y mitigación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Falla</w:t>
            </w:r>
          </w:p>
        </w:tc>
        <w:tc>
          <w:tcPr/>
          <w:p>
            <w:pPr>
              <w:pStyle w:val="Compac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Medidor o concentrador</w:t>
            </w:r>
          </w:p>
        </w:tc>
        <w:tc>
          <w:tcPr/>
          <w:p>
            <w:pPr>
              <w:pStyle w:val="Compact"/>
            </w:pPr>
            <w:r>
              <w:t xml:space="preserve">Deja de enviar</w:t>
            </w:r>
          </w:p>
        </w:tc>
        <w:tc>
          <w:tcPr/>
          <w:p>
            <w:pPr>
              <w:pStyle w:val="Compact"/>
            </w:pPr>
            <w:r>
              <w:t xml:space="preserve">Spark detecta el silencio por</w:t>
            </w:r>
            <w:r>
              <w:t xml:space="preserve"> </w:t>
            </w:r>
            <w:r>
              <w:rPr>
                <w:i/>
                <w:iCs/>
              </w:rPr>
              <w:t xml:space="preserve">watermark</w:t>
            </w:r>
            <w:r>
              <w:t xml:space="preserve"> </w:t>
            </w:r>
            <w:r>
              <w:t xml:space="preserve">y estado y emite</w:t>
            </w:r>
            <w:r>
              <w:t xml:space="preserve"> </w:t>
            </w:r>
            <w:r>
              <w:rPr>
                <w:rStyle w:val="VerbatimChar"/>
              </w:rPr>
              <w:t xml:space="preserve">meter.silent</w:t>
            </w:r>
            <w:r>
              <w:t xml:space="preserve">; al reconectar, las lecturas atrasadas se aceptan hasta 72 h y la conciliación nocturna recalcula los agregados;</w:t>
            </w:r>
            <w:r>
              <w:t xml:space="preserve"> </w:t>
            </w:r>
            <w:r>
              <w:rPr>
                <w:rStyle w:val="VerbatimChar"/>
              </w:rPr>
              <w:t xml:space="preserve">dq_medidor</w:t>
            </w:r>
            <w:r>
              <w:t xml:space="preserve"> </w:t>
            </w:r>
            <w:r>
              <w:t xml:space="preserve">marca huecos y rachas de ceros. Nunca se imputa consumo facturable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t xml:space="preserve">Caída de un broker o una zona</w:t>
            </w:r>
          </w:p>
        </w:tc>
        <w:tc>
          <w:tcPr/>
          <w:p>
            <w:pPr>
              <w:pStyle w:val="Compact"/>
            </w:pPr>
            <w:r>
              <w:t xml:space="preserve">3 zonas, factor de réplica 3,</w:t>
            </w:r>
            <w:r>
              <w:t xml:space="preserve"> </w:t>
            </w:r>
            <w:r>
              <w:rPr>
                <w:rStyle w:val="VerbatimChar"/>
              </w:rPr>
              <w:t xml:space="preserve">min.insync.replicas =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acks = all</w:t>
            </w:r>
            <w:r>
              <w:t xml:space="preserve">; la conmutación es automática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Spark Streaming</w:t>
            </w:r>
          </w:p>
        </w:tc>
        <w:tc>
          <w:tcPr/>
          <w:p>
            <w:pPr>
              <w:pStyle w:val="Compact"/>
            </w:pPr>
            <w:r>
              <w:t xml:space="preserve">Caída del job o del nodo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Checkpoints</w:t>
            </w:r>
            <w:r>
              <w:t xml:space="preserve"> </w:t>
            </w:r>
            <w:r>
              <w:t xml:space="preserve">en GCS dual-region; reinicio automático desde el último offset; escritura idempotente a BigQuery (Storage Write API con</w:t>
            </w:r>
            <w:r>
              <w:t xml:space="preserve"> </w:t>
            </w:r>
            <w:r>
              <w:rPr>
                <w:i/>
                <w:iCs/>
              </w:rPr>
              <w:t xml:space="preserve">offsets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Lake GCS</w:t>
            </w:r>
          </w:p>
        </w:tc>
        <w:tc>
          <w:tcPr/>
          <w:p>
            <w:pPr>
              <w:pStyle w:val="Compact"/>
            </w:pPr>
            <w:r>
              <w:t xml:space="preserve">Pérdida regional o borrado</w:t>
            </w:r>
          </w:p>
        </w:tc>
        <w:tc>
          <w:tcPr/>
          <w:p>
            <w:pPr>
              <w:pStyle w:val="Compact"/>
            </w:pPr>
            <w:r>
              <w:t xml:space="preserve">Bucket dual-region (nam4) con replicación turbo (RPO 15 min); versionado y</w:t>
            </w:r>
            <w:r>
              <w:t xml:space="preserve"> </w:t>
            </w:r>
            <w:r>
              <w:rPr>
                <w:i/>
                <w:iCs/>
              </w:rPr>
              <w:t xml:space="preserve">soft delete</w:t>
            </w:r>
            <w:r>
              <w:t xml:space="preserve"> </w:t>
            </w:r>
            <w:r>
              <w:t xml:space="preserve">de 7 días en curated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BigQuery</w:t>
            </w:r>
          </w:p>
        </w:tc>
        <w:tc>
          <w:tcPr/>
          <w:p>
            <w:pPr>
              <w:pStyle w:val="Compact"/>
            </w:pPr>
            <w:r>
              <w:t xml:space="preserve">Error humano o corrupción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Time travel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i/>
                <w:iCs/>
              </w:rPr>
              <w:t xml:space="preserve">fail-safe</w:t>
            </w:r>
            <w:r>
              <w:t xml:space="preserve"> </w:t>
            </w:r>
            <w:r>
              <w:t xml:space="preserve">de 7 días cada uno; snapshots diarios de gold; réplica de datasets en otra región; reconstrucción total desde el lake (medido: 32 min con 20 DCU)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Bigtable</w:t>
            </w:r>
          </w:p>
        </w:tc>
        <w:tc>
          <w:tcPr/>
          <w:p>
            <w:pPr>
              <w:pStyle w:val="Compact"/>
            </w:pPr>
            <w:r>
              <w:t xml:space="preserve">Caída de zona o región</w:t>
            </w:r>
          </w:p>
        </w:tc>
        <w:tc>
          <w:tcPr/>
          <w:p>
            <w:pPr>
              <w:pStyle w:val="Compact"/>
            </w:pPr>
            <w:r>
              <w:t xml:space="preserve">Dos clústeres replicados con enrutamiento multi-clúster; conmutación en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Run</w:t>
            </w:r>
          </w:p>
        </w:tc>
        <w:tc>
          <w:tcPr/>
          <w:p>
            <w:pPr>
              <w:pStyle w:val="Compact"/>
            </w:pPr>
            <w:r>
              <w:t xml:space="preserve">Caída de zona</w:t>
            </w:r>
          </w:p>
        </w:tc>
        <w:tc>
          <w:tcPr/>
          <w:p>
            <w:pPr>
              <w:pStyle w:val="Compact"/>
            </w:pPr>
            <w:r>
              <w:t xml:space="preserve">Servicio regional multizona; en producción, balanceador global con una segunda región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Airflow</w:t>
            </w:r>
          </w:p>
        </w:tc>
        <w:tc>
          <w:tcPr/>
          <w:p>
            <w:pPr>
              <w:pStyle w:val="Compact"/>
            </w:pPr>
            <w:r>
              <w:t xml:space="preserve">Caída del entorno</w:t>
            </w:r>
          </w:p>
        </w:tc>
        <w:tc>
          <w:tcPr/>
          <w:p>
            <w:pPr>
              <w:pStyle w:val="Compact"/>
            </w:pPr>
            <w:r>
              <w:t xml:space="preserve">DAGs en Git; entorno recreado por infraestructura como código; tareas idempotentes con</w:t>
            </w:r>
            <w:r>
              <w:t xml:space="preserve"> </w:t>
            </w:r>
            <w:r>
              <w:rPr>
                <w:i/>
                <w:iCs/>
              </w:rPr>
              <w:t xml:space="preserve">catchup</w:t>
            </w:r>
          </w:p>
        </w:tc>
      </w:tr>
    </w:tbl>
    <w:bookmarkEnd w:id="50"/>
    <w:bookmarkStart w:id="51" w:name="runbook-resumido-ante-caída-regional"/>
    <w:p>
      <w:pPr>
        <w:pStyle w:val="Heading2"/>
      </w:pPr>
      <w:r>
        <w:t xml:space="preserve">8.3 Runbook resumido ante caída regional</w:t>
      </w:r>
    </w:p>
    <w:p>
      <w:pPr>
        <w:pStyle w:val="Compact"/>
        <w:numPr>
          <w:ilvl w:val="0"/>
          <w:numId w:val="1006"/>
        </w:numPr>
      </w:pPr>
      <w:r>
        <w:t xml:space="preserve">Activar la región secundaria: Bigtable conmuta solo; Cloud Run detrás del balanceador global.</w:t>
      </w:r>
    </w:p>
    <w:p>
      <w:pPr>
        <w:pStyle w:val="Compact"/>
        <w:numPr>
          <w:ilvl w:val="0"/>
          <w:numId w:val="1006"/>
        </w:numPr>
      </w:pPr>
      <w:r>
        <w:t xml:space="preserve">Los concentradores acumulan; Kafka secundario (MirrorMaker 2) recibe el tráfico.</w:t>
      </w:r>
    </w:p>
    <w:p>
      <w:pPr>
        <w:pStyle w:val="Compact"/>
        <w:numPr>
          <w:ilvl w:val="0"/>
          <w:numId w:val="1006"/>
        </w:numPr>
      </w:pPr>
      <w:r>
        <w:t xml:space="preserve">Spark Streaming arranca en la región secundaria desde los</w:t>
      </w:r>
      <w:r>
        <w:t xml:space="preserve"> </w:t>
      </w:r>
      <w:r>
        <w:rPr>
          <w:i/>
          <w:iCs/>
        </w:rPr>
        <w:t xml:space="preserve">checkpoints</w:t>
      </w:r>
      <w:r>
        <w:t xml:space="preserve"> </w:t>
      </w:r>
      <w:r>
        <w:t xml:space="preserve">dual-region.</w:t>
      </w:r>
    </w:p>
    <w:p>
      <w:pPr>
        <w:pStyle w:val="Compact"/>
        <w:numPr>
          <w:ilvl w:val="0"/>
          <w:numId w:val="1006"/>
        </w:numPr>
      </w:pPr>
      <w:r>
        <w:t xml:space="preserve">Reprocesar con Spark batch el intervalo afectado desde el lake; validar conteos contra la fuente, como en el prototipo.</w:t>
      </w:r>
    </w:p>
    <w:p>
      <w:pPr>
        <w:pStyle w:val="Compact"/>
        <w:numPr>
          <w:ilvl w:val="0"/>
          <w:numId w:val="1006"/>
        </w:numPr>
      </w:pPr>
      <w:r>
        <w:t xml:space="preserve">Postmortem y prueba de recuperación trimestral (en el taller: matar el job de streaming y verificar que retoma desde el</w:t>
      </w:r>
      <w:r>
        <w:t xml:space="preserve"> </w:t>
      </w:r>
      <w:r>
        <w:rPr>
          <w:i/>
          <w:iCs/>
        </w:rPr>
        <w:t xml:space="preserve">checkpoint</w:t>
      </w:r>
      <w:r>
        <w:t xml:space="preserve">).</w:t>
      </w:r>
    </w:p>
    <w:bookmarkEnd w:id="51"/>
    <w:bookmarkEnd w:id="52"/>
    <w:bookmarkStart w:id="53" w:name="seguridad-y-gobernanza"/>
    <w:p>
      <w:pPr>
        <w:pStyle w:val="Heading1"/>
      </w:pPr>
      <w:r>
        <w:t xml:space="preserve">9. Seguridad y gobernanza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Privacidad.</w:t>
      </w:r>
      <w:r>
        <w:t xml:space="preserve"> </w:t>
      </w:r>
      <w:r>
        <w:t xml:space="preserve">El consumo revela hábitos del hogar: el identificador del medidor va seudonimizado; las vistas OLAP solo publican agregados de al menos 10 hogares; las columnas sensibles llevan</w:t>
      </w:r>
      <w:r>
        <w:t xml:space="preserve"> </w:t>
      </w:r>
      <w:r>
        <w:rPr>
          <w:i/>
          <w:iCs/>
        </w:rPr>
        <w:t xml:space="preserve">policy tags</w:t>
      </w:r>
      <w:r>
        <w:t xml:space="preserve"> </w:t>
      </w:r>
      <w:r>
        <w:t xml:space="preserve">de BigQuery.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Mínimo privilegio.</w:t>
      </w:r>
      <w:r>
        <w:t xml:space="preserve"> </w:t>
      </w:r>
      <w:r>
        <w:t xml:space="preserve">Una cuenta de servicio por función (en el prototipo,</w:t>
      </w:r>
      <w:r>
        <w:t xml:space="preserve"> </w:t>
      </w:r>
      <w:r>
        <w:rPr>
          <w:rStyle w:val="VerbatimChar"/>
        </w:rPr>
        <w:t xml:space="preserve">lumina-ingest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lumina-spark</w:t>
      </w:r>
      <w:r>
        <w:t xml:space="preserve">); credenciales en Secret Manager y nunca en el repositorio.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Calidad y linaje.</w:t>
      </w:r>
      <w:r>
        <w:t xml:space="preserve"> </w:t>
      </w:r>
      <w:r>
        <w:t xml:space="preserve">Capas raw, silver y gold separadas; reglas de calidad versionadas; auditoría con Cloud Audit Logs.</w:t>
      </w:r>
    </w:p>
    <w:bookmarkEnd w:id="53"/>
    <w:bookmarkStart w:id="54" w:name="supuestos-y-fuera-de-alcance"/>
    <w:p>
      <w:pPr>
        <w:pStyle w:val="Heading1"/>
      </w:pPr>
      <w:r>
        <w:t xml:space="preserve">10. Supuestos y fuera de alcance</w:t>
      </w:r>
    </w:p>
    <w:p>
      <w:pPr>
        <w:pStyle w:val="FirstParagraph"/>
      </w:pPr>
      <w:r>
        <w:rPr>
          <w:b/>
          <w:bCs/>
        </w:rPr>
        <w:t xml:space="preserve">Supuestos:</w:t>
      </w:r>
      <w:r>
        <w:t xml:space="preserve"> </w:t>
      </w:r>
      <w:r>
        <w:t xml:space="preserve">89 % de 9 M clientes con medidor; zonas y transformadores sintéticos;</w:t>
      </w:r>
      <w:r>
        <w:t xml:space="preserve"> </w:t>
      </w:r>
      <w:r>
        <w:rPr>
          <w:rStyle w:val="VerbatimChar"/>
        </w:rPr>
        <w:t xml:space="preserve">tstp</w:t>
      </w:r>
      <w:r>
        <w:t xml:space="preserve"> </w:t>
      </w:r>
      <w:r>
        <w:t xml:space="preserve">marca el inicio del intervalo; hora DarkSky en UTC; clima observado como sustituto del pronóstico; precios de lista sin descuentos.</w:t>
      </w:r>
    </w:p>
    <w:p>
      <w:pPr>
        <w:pStyle w:val="BodyText"/>
      </w:pPr>
      <w:r>
        <w:rPr>
          <w:b/>
          <w:bCs/>
        </w:rPr>
        <w:t xml:space="preserve">Fuera de alcance:</w:t>
      </w:r>
      <w:r>
        <w:t xml:space="preserve"> </w:t>
      </w:r>
      <w:r>
        <w:t xml:space="preserve">facturación real, integración con los sistemas de las 12 distribuidoras, control físico de termostatos y baterías, y el front-end (adjudicado en otra RFP).</w:t>
      </w:r>
    </w:p>
    <w:bookmarkEnd w:id="54"/>
    <w:bookmarkStart w:id="55" w:name="próximos-pasos"/>
    <w:p>
      <w:pPr>
        <w:pStyle w:val="Heading1"/>
      </w:pPr>
      <w:r>
        <w:t xml:space="preserve">11. Próximos pasos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Entrega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Alcance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 de noviembre de 2026</w:t>
            </w:r>
          </w:p>
        </w:tc>
        <w:tc>
          <w:tcPr/>
          <w:p>
            <w:pPr>
              <w:pStyle w:val="Compact"/>
            </w:pPr>
            <w:r>
              <w:t xml:space="preserve">Streaming: replay → Kafka → Spark Structured Streaming (picos, anomalías, medidores en silencio); DAGs de Airflow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20–21 de noviembre de 2026</w:t>
            </w:r>
          </w:p>
        </w:tc>
        <w:tc>
          <w:tcPr/>
          <w:p>
            <w:pPr>
              <w:pStyle w:val="Compact"/>
            </w:pPr>
            <w:r>
              <w:t xml:space="preserve">Pronóstico D+1, vistas OLAP, API en Cloud Run, demo end-to-end, slides con KPIs y calculadora</w:t>
            </w:r>
          </w:p>
        </w:tc>
      </w:tr>
    </w:tbl>
    <w:bookmarkEnd w:id="55"/>
    <w:bookmarkStart w:id="61" w:name="referencias"/>
    <w:p>
      <w:pPr>
        <w:pStyle w:val="Heading1"/>
      </w:pPr>
      <w:r>
        <w:t xml:space="preserve">12. Referencias</w:t>
      </w:r>
    </w:p>
    <w:p>
      <w:pPr>
        <w:pStyle w:val="Compact"/>
        <w:numPr>
          <w:ilvl w:val="0"/>
          <w:numId w:val="1008"/>
        </w:numPr>
      </w:pPr>
      <w:r>
        <w:t xml:space="preserve">Datasets: Smart Meters in London (Kaggle, jeanmidev); Electricity consumption UK 2009–2024 (Kaggle, albertovidalrod); NOAA GSOD (BigQuery público).</w:t>
      </w:r>
    </w:p>
    <w:p>
      <w:pPr>
        <w:pStyle w:val="Compact"/>
        <w:numPr>
          <w:ilvl w:val="0"/>
          <w:numId w:val="1008"/>
        </w:numPr>
      </w:pPr>
      <w:r>
        <w:t xml:space="preserve">Precios:</w:t>
      </w:r>
      <w:r>
        <w:t xml:space="preserve"> </w:t>
      </w:r>
      <w:hyperlink r:id="rId56">
        <w:r>
          <w:rPr>
            <w:rStyle w:val="Hyperlink"/>
          </w:rPr>
          <w:t xml:space="preserve">Managed Service for Apache Spark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Managed Service for Apache Kafka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Bigtable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Managed Service for Apache Airflow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BigQuery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Código, modelo de datos y bitácora de costos: repositorio</w:t>
      </w:r>
      <w:r>
        <w:t xml:space="preserve"> </w:t>
      </w:r>
      <w:r>
        <w:rPr>
          <w:rStyle w:val="VerbatimChar"/>
        </w:rPr>
        <w:t xml:space="preserve">dataenergia-lumina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docs/02_modelo_datos.md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docs/bitacora_costos.log</w:t>
      </w:r>
      <w:r>
        <w:t xml:space="preserve">).</w:t>
      </w:r>
    </w:p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hyperlink" Id="rId60" Target="https://cloud.google.com/bigquery/pricing" TargetMode="External" /><Relationship Type="http://schemas.openxmlformats.org/officeDocument/2006/relationships/hyperlink" Id="rId58" Target="https://cloud.google.com/bigtable/pricing" TargetMode="External" /><Relationship Type="http://schemas.openxmlformats.org/officeDocument/2006/relationships/hyperlink" Id="rId59" Target="https://cloud.google.com/composer/pricing" TargetMode="External" /><Relationship Type="http://schemas.openxmlformats.org/officeDocument/2006/relationships/hyperlink" Id="rId56" Target="https://cloud.google.com/dataproc-serverless/pricing" TargetMode="External" /><Relationship Type="http://schemas.openxmlformats.org/officeDocument/2006/relationships/hyperlink" Id="rId57" Target="https://cloud.google.com/managed-service-for-apache-kafka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https://cloud.google.com/bigquery/pricing" TargetMode="External" /><Relationship Type="http://schemas.openxmlformats.org/officeDocument/2006/relationships/hyperlink" Id="rId58" Target="https://cloud.google.com/bigtable/pricing" TargetMode="External" /><Relationship Type="http://schemas.openxmlformats.org/officeDocument/2006/relationships/hyperlink" Id="rId59" Target="https://cloud.google.com/composer/pricing" TargetMode="External" /><Relationship Type="http://schemas.openxmlformats.org/officeDocument/2006/relationships/hyperlink" Id="rId56" Target="https://cloud.google.com/dataproc-serverless/pricing" TargetMode="External" /><Relationship Type="http://schemas.openxmlformats.org/officeDocument/2006/relationships/hyperlink" Id="rId57" Target="https://cloud.google.com/managed-service-for-apache-kafka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DataEnergía Metropolitan · Lumina Energía</dc:title>
  <dc:creator>Piero Palacios</dc:creator>
  <dc:language>es</dc:language>
  <cp:keywords/>
  <dcterms:created xsi:type="dcterms:W3CDTF">2026-10-20T21:08:50Z</dcterms:created>
  <dcterms:modified xsi:type="dcterms:W3CDTF">2026-10-20T21:08:50Z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2026-10-24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Entrega 1: sustentación técnica, económica y de resiliencia, y blueprint de ingesta y almacenamiento</vt:lpwstr>
  </property>
  <property fmtid="{D5CDD505-2E9C-101B-9397-08002B2CF9AE}" pid="11" name="toc-title">
    <vt:lpwstr>Tabla de contenidos</vt:lpwstr>
  </property>
</Properties>
</file>