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16</w:t>
      </w:r>
    </w:p>
    <w:p>
      <w:r>
        <w:rPr>
          <w:b/>
        </w:rPr>
        <w:t xml:space="preserve">Author (s): </w:t>
      </w:r>
      <w:r>
        <w:t>Ali et al.</w:t>
      </w:r>
    </w:p>
    <w:p>
      <w:r>
        <w:rPr>
          <w:b/>
        </w:rPr>
        <w:t xml:space="preserve">Title of paper: </w:t>
      </w:r>
      <w:r>
        <w:t>Unveiling Machine Learning Strategies and Considerations for Intrusion Detection Systems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(2024)</w:t>
      </w:r>
    </w:p>
    <w:p>
      <w:r>
        <w:rPr>
          <w:b/>
        </w:rPr>
        <w:t>Estado del arte que hace el autor</w:t>
      </w:r>
    </w:p>
    <w:p>
      <w:r>
        <w:t>El artículo 16 sitúa la detección de intrusiones como un problema vigente de ciberseguridad y revisa o implementa mecanismos basados en machine learning y deep learning.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sintetizar tendencias, vacíos y recomendaciones.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una estrategia de revisión de literatura con criterios de inclusión/exclusión y comparación de estudios.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