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864000" cy="720000"/>
            <wp:docPr id="1" name="Picture 1"/>
            <wp:cNvGraphicFramePr>
              <a:graphicFrameLocks noChangeAspect="1"/>
            </wp:cNvGraphicFramePr>
            <a:graphic>
              <a:graphicData uri="http://schemas.openxmlformats.org/drawingml/2006/picture">
                <pic:pic>
                  <pic:nvPicPr>
                    <pic:cNvPr id="0" name="icono.png"/>
                    <pic:cNvPicPr/>
                  </pic:nvPicPr>
                  <pic:blipFill>
                    <a:blip r:embed="rId11"/>
                    <a:stretch>
                      <a:fillRect/>
                    </a:stretch>
                  </pic:blipFill>
                  <pic:spPr>
                    <a:xfrm>
                      <a:off x="0" y="0"/>
                      <a:ext cx="864000" cy="720000"/>
                    </a:xfrm>
                    <a:prstGeom prst="rect"/>
                  </pic:spPr>
                </pic:pic>
              </a:graphicData>
            </a:graphic>
          </wp:inline>
        </w:drawing>
      </w:r>
    </w:p>
    <w:p>
      <w:pPr>
        <w:pStyle w:val="Title"/>
      </w:pPr>
      <w:r>
        <w:t>Arquitectura y tecnologías</w:t>
      </w:r>
    </w:p>
    <w:p>
      <w:r>
        <w:rPr>
          <w:b/>
          <w:color w:val="52615C"/>
          <w:sz w:val="28"/>
        </w:rPr>
        <w:t>Sistema de pedidos · Distribuidora Andina S.A.S.</w:t>
      </w:r>
    </w:p>
    <w:p/>
    <w:tbl>
      <w:tblPr>
        <w:tblStyle w:val="TableGrid"/>
        <w:tblW w:type="auto" w:w="0"/>
        <w:tblLayout w:type="fixed"/>
        <w:tblLook w:firstColumn="1" w:firstRow="1" w:lastColumn="0" w:lastRow="0" w:noHBand="0" w:noVBand="1" w:val="04A0"/>
      </w:tblPr>
      <w:tblGrid>
        <w:gridCol w:w="2422"/>
        <w:gridCol w:w="2422"/>
        <w:gridCol w:w="2422"/>
        <w:gridCol w:w="2422"/>
      </w:tblGrid>
      <w:tr>
        <w:trPr>
          <w:cantSplit/>
        </w:trPr>
        <w:tc>
          <w:tcPr>
            <w:tcW w:type="dxa" w:w="2835"/>
            <w:shd w:fill="E8F4EE"/>
            <w:vAlign w:val="center"/>
          </w:tcPr>
          <w:p>
            <w:r>
              <w:rPr>
                <w:b/>
                <w:color w:val="0B674B"/>
              </w:rPr>
              <w:t>Documento</w:t>
            </w:r>
          </w:p>
        </w:tc>
        <w:tc>
          <w:tcPr>
            <w:tcW w:type="dxa" w:w="1134"/>
            <w:shd w:fill="E8F4EE"/>
            <w:vAlign w:val="center"/>
          </w:tcPr>
          <w:p>
            <w:r>
              <w:rPr>
                <w:b/>
                <w:color w:val="0B674B"/>
              </w:rPr>
              <w:t>Versión</w:t>
            </w:r>
          </w:p>
        </w:tc>
        <w:tc>
          <w:tcPr>
            <w:tcW w:type="dxa" w:w="1701"/>
            <w:shd w:fill="E8F4EE"/>
            <w:vAlign w:val="center"/>
          </w:tcPr>
          <w:p>
            <w:r>
              <w:rPr>
                <w:b/>
                <w:color w:val="0B674B"/>
              </w:rPr>
              <w:t>Fecha</w:t>
            </w:r>
          </w:p>
        </w:tc>
        <w:tc>
          <w:tcPr>
            <w:tcW w:type="dxa" w:w="3118"/>
            <w:shd w:fill="E8F4EE"/>
            <w:vAlign w:val="center"/>
          </w:tcPr>
          <w:p>
            <w:r>
              <w:rPr>
                <w:b/>
                <w:color w:val="0B674B"/>
              </w:rPr>
              <w:t>Alcance</w:t>
            </w:r>
          </w:p>
        </w:tc>
      </w:tr>
      <w:tr>
        <w:trPr>
          <w:cantSplit/>
        </w:trPr>
        <w:tc>
          <w:tcPr>
            <w:tcW w:type="dxa" w:w="2835"/>
            <w:vAlign w:val="center"/>
          </w:tcPr>
          <w:p>
            <w:r>
              <w:t>01 · Documentación técnica</w:t>
            </w:r>
          </w:p>
        </w:tc>
        <w:tc>
          <w:tcPr>
            <w:tcW w:type="dxa" w:w="1134"/>
            <w:vAlign w:val="center"/>
          </w:tcPr>
          <w:p>
            <w:r>
              <w:t>1.1</w:t>
            </w:r>
          </w:p>
        </w:tc>
        <w:tc>
          <w:tcPr>
            <w:tcW w:type="dxa" w:w="1701"/>
            <w:vAlign w:val="center"/>
          </w:tcPr>
          <w:p>
            <w:r>
              <w:t>27/10/2026</w:t>
            </w:r>
          </w:p>
        </w:tc>
        <w:tc>
          <w:tcPr>
            <w:tcW w:type="dxa" w:w="3118"/>
            <w:vAlign w:val="center"/>
          </w:tcPr>
          <w:p>
            <w:r>
              <w:t>Implementación local</w:t>
            </w:r>
          </w:p>
        </w:tc>
      </w:tr>
    </w:tbl>
    <w:p/>
    <w:p>
      <w:r>
        <w:t>Este documento describe la solución implementada y las decisiones técnicas verificables en el repositorio. Los flujos detallados de cada usuario y los diagramas de la implementación se documentarán en entregables separados.</w:t>
      </w:r>
    </w:p>
    <w:p>
      <w:r>
        <w:br w:type="page"/>
      </w:r>
    </w:p>
    <w:p>
      <w:pPr>
        <w:pStyle w:val="Heading1"/>
      </w:pPr>
      <w:r>
        <w:t>1. Propósito y alcance</w:t>
      </w:r>
    </w:p>
    <w:p>
      <w:r>
        <w:t>La aplicación permite gestionar clientes, productos, pedidos, pagos, devoluciones e informes internos. Es una aplicación web PHP renderizada en el servidor, organizada por módulos y ejecutada localmente con dos contenedores: aplicación y base de datos. El navegador recibe HTML y archivos estáticos; JavaScript mejora algunas interacciones sin sustituir las validaciones del servidor.</w:t>
      </w:r>
    </w:p>
    <w:p>
      <w:r>
        <w:t>Las versiones indicadas a continuación corresponden a las etiquetas e instalaciones presentes en el proyecto. PHP y MySQL se fijan por versión mayor y menor en las imágenes, de modo que su versión de parche puede cambiar al reconstruirlas.</w:t>
      </w:r>
    </w:p>
    <w:p>
      <w:pPr>
        <w:pStyle w:val="Heading1"/>
      </w:pPr>
      <w:r>
        <w:t>2. Arquitectura de la solución</w:t>
      </w:r>
    </w:p>
    <w:tbl>
      <w:tblPr>
        <w:tblStyle w:val="TableGrid"/>
        <w:tblW w:type="auto" w:w="0"/>
        <w:tblLayout w:type="fixed"/>
        <w:tblLook w:firstColumn="1" w:firstRow="1" w:lastColumn="0" w:lastRow="0" w:noHBand="0" w:noVBand="1" w:val="04A0"/>
      </w:tblPr>
      <w:tblGrid>
        <w:gridCol w:w="3229"/>
        <w:gridCol w:w="3229"/>
        <w:gridCol w:w="3229"/>
      </w:tblGrid>
      <w:tr>
        <w:trPr>
          <w:cantSplit/>
        </w:trPr>
        <w:tc>
          <w:tcPr>
            <w:tcW w:type="dxa" w:w="1531"/>
            <w:shd w:fill="E8F4EE"/>
            <w:vAlign w:val="center"/>
          </w:tcPr>
          <w:p>
            <w:r>
              <w:rPr>
                <w:b/>
                <w:color w:val="0B674B"/>
              </w:rPr>
              <w:t>Capa</w:t>
            </w:r>
          </w:p>
        </w:tc>
        <w:tc>
          <w:tcPr>
            <w:tcW w:type="dxa" w:w="5272"/>
            <w:shd w:fill="E8F4EE"/>
            <w:vAlign w:val="center"/>
          </w:tcPr>
          <w:p>
            <w:r>
              <w:rPr>
                <w:b/>
                <w:color w:val="0B674B"/>
              </w:rPr>
              <w:t>Responsabilidad</w:t>
            </w:r>
          </w:p>
        </w:tc>
        <w:tc>
          <w:tcPr>
            <w:tcW w:type="dxa" w:w="1984"/>
            <w:shd w:fill="E8F4EE"/>
            <w:vAlign w:val="center"/>
          </w:tcPr>
          <w:p>
            <w:r>
              <w:rPr>
                <w:b/>
                <w:color w:val="0B674B"/>
              </w:rPr>
              <w:t>Archivos principales</w:t>
            </w:r>
          </w:p>
        </w:tc>
      </w:tr>
      <w:tr>
        <w:trPr>
          <w:cantSplit/>
        </w:trPr>
        <w:tc>
          <w:tcPr>
            <w:tcW w:type="dxa" w:w="1531"/>
            <w:vAlign w:val="center"/>
          </w:tcPr>
          <w:p>
            <w:r>
              <w:t>Navegador</w:t>
            </w:r>
          </w:p>
        </w:tc>
        <w:tc>
          <w:tcPr>
            <w:tcW w:type="dxa" w:w="5272"/>
            <w:vAlign w:val="center"/>
          </w:tcPr>
          <w:p>
            <w:r>
              <w:t>Muestra formularios y resultados; CSS y JavaScript aportan presentación y búsqueda interactiva.</w:t>
            </w:r>
          </w:p>
        </w:tc>
        <w:tc>
          <w:tcPr>
            <w:tcW w:type="dxa" w:w="1984"/>
            <w:vAlign w:val="center"/>
          </w:tcPr>
          <w:p>
            <w:r>
              <w:t>public/assets/</w:t>
            </w:r>
          </w:p>
        </w:tc>
      </w:tr>
      <w:tr>
        <w:trPr>
          <w:cantSplit/>
        </w:trPr>
        <w:tc>
          <w:tcPr>
            <w:tcW w:type="dxa" w:w="1531"/>
            <w:vAlign w:val="center"/>
            <w:shd w:fill="F7FAF8"/>
          </w:tcPr>
          <w:p>
            <w:r>
              <w:t>Apache + PHP</w:t>
            </w:r>
          </w:p>
        </w:tc>
        <w:tc>
          <w:tcPr>
            <w:tcW w:type="dxa" w:w="5272"/>
            <w:vAlign w:val="center"/>
            <w:shd w:fill="F7FAF8"/>
          </w:tcPr>
          <w:p>
            <w:r>
              <w:t>Recibe las rutas, comprueba sesión y permisos, valida entradas y ejecuta reglas de negocio.</w:t>
            </w:r>
          </w:p>
        </w:tc>
        <w:tc>
          <w:tcPr>
            <w:tcW w:type="dxa" w:w="1984"/>
            <w:vAlign w:val="center"/>
            <w:shd w:fill="F7FAF8"/>
          </w:tcPr>
          <w:p>
            <w:r>
              <w:t>public/*.php; public/includes/; public/&lt;módulo&gt;/</w:t>
            </w:r>
          </w:p>
        </w:tc>
      </w:tr>
      <w:tr>
        <w:trPr>
          <w:cantSplit/>
        </w:trPr>
        <w:tc>
          <w:tcPr>
            <w:tcW w:type="dxa" w:w="1531"/>
            <w:vAlign w:val="center"/>
          </w:tcPr>
          <w:p>
            <w:r>
              <w:t>PDO</w:t>
            </w:r>
          </w:p>
        </w:tc>
        <w:tc>
          <w:tcPr>
            <w:tcW w:type="dxa" w:w="5272"/>
            <w:vAlign w:val="center"/>
          </w:tcPr>
          <w:p>
            <w:r>
              <w:t>Conecta PHP con MySQL y ejecuta consultas y transacciones.</w:t>
            </w:r>
          </w:p>
        </w:tc>
        <w:tc>
          <w:tcPr>
            <w:tcW w:type="dxa" w:w="1984"/>
            <w:vAlign w:val="center"/>
          </w:tcPr>
          <w:p>
            <w:r>
              <w:t>public/includes/conexion.php</w:t>
            </w:r>
          </w:p>
        </w:tc>
      </w:tr>
      <w:tr>
        <w:trPr>
          <w:cantSplit/>
        </w:trPr>
        <w:tc>
          <w:tcPr>
            <w:tcW w:type="dxa" w:w="1531"/>
            <w:vAlign w:val="center"/>
            <w:shd w:fill="F7FAF8"/>
          </w:tcPr>
          <w:p>
            <w:r>
              <w:t>MySQL</w:t>
            </w:r>
          </w:p>
        </w:tc>
        <w:tc>
          <w:tcPr>
            <w:tcW w:type="dxa" w:w="5272"/>
            <w:vAlign w:val="center"/>
            <w:shd w:fill="F7FAF8"/>
          </w:tcPr>
          <w:p>
            <w:r>
              <w:t>Conserva usuarios, clientes, catálogo, pedidos, pagos y movimientos de inventario.</w:t>
            </w:r>
          </w:p>
        </w:tc>
        <w:tc>
          <w:tcPr>
            <w:tcW w:type="dxa" w:w="1984"/>
            <w:vAlign w:val="center"/>
            <w:shd w:fill="F7FAF8"/>
          </w:tcPr>
          <w:p>
            <w:r>
              <w:t>db/init/01_schema.sql</w:t>
            </w:r>
          </w:p>
        </w:tc>
      </w:tr>
    </w:tbl>
    <w:p/>
    <w:p>
      <w:r>
        <w:t>Recorrido de una operación: (1) el navegador solicita una ruta bajo public/; (2) PHP comprueba la sesión y el permiso requerido; (3) una acción de escritura comprueba POST, token CSRF y datos; (4) la función de dominio consulta o modifica MySQL mediante PDO; (5) el servidor devuelve HTML o redirige tras guardar. La matriz de permisos está en public/includes/permisos.php y se aplica también cuando alguien escribe la URL directamente.</w:t>
      </w:r>
    </w:p>
    <w:p>
      <w:r>
        <w:t>Los módulos se mantienen dentro de una misma aplicación y comparten la misma base. Esta organización permite que la confirmación del pedido, el descuento de stock y el movimiento de inventario se confirmen juntos dentro de una transacción.</w:t>
      </w:r>
    </w:p>
    <w:p>
      <w:pPr>
        <w:pStyle w:val="Heading1"/>
      </w:pPr>
      <w:r>
        <w:t>3. Tecnologías y función</w:t>
      </w:r>
    </w:p>
    <w:tbl>
      <w:tblPr>
        <w:tblStyle w:val="TableGrid"/>
        <w:tblW w:type="auto" w:w="0"/>
        <w:tblLayout w:type="fixed"/>
        <w:tblLook w:firstColumn="1" w:firstRow="1" w:lastColumn="0" w:lastRow="0" w:noHBand="0" w:noVBand="1" w:val="04A0"/>
      </w:tblPr>
      <w:tblGrid>
        <w:gridCol w:w="3229"/>
        <w:gridCol w:w="3229"/>
        <w:gridCol w:w="3229"/>
      </w:tblGrid>
      <w:tr>
        <w:trPr>
          <w:cantSplit/>
        </w:trPr>
        <w:tc>
          <w:tcPr>
            <w:tcW w:type="dxa" w:w="1814"/>
            <w:shd w:fill="E8F4EE"/>
            <w:vAlign w:val="center"/>
          </w:tcPr>
          <w:p>
            <w:r>
              <w:rPr>
                <w:b/>
                <w:color w:val="0B674B"/>
              </w:rPr>
              <w:t>Tecnología</w:t>
            </w:r>
          </w:p>
        </w:tc>
        <w:tc>
          <w:tcPr>
            <w:tcW w:type="dxa" w:w="2324"/>
            <w:shd w:fill="E8F4EE"/>
            <w:vAlign w:val="center"/>
          </w:tcPr>
          <w:p>
            <w:r>
              <w:rPr>
                <w:b/>
                <w:color w:val="0B674B"/>
              </w:rPr>
              <w:t>Versión identificada</w:t>
            </w:r>
          </w:p>
        </w:tc>
        <w:tc>
          <w:tcPr>
            <w:tcW w:type="dxa" w:w="4649"/>
            <w:shd w:fill="E8F4EE"/>
            <w:vAlign w:val="center"/>
          </w:tcPr>
          <w:p>
            <w:r>
              <w:rPr>
                <w:b/>
                <w:color w:val="0B674B"/>
              </w:rPr>
              <w:t>Uso en el proyecto</w:t>
            </w:r>
          </w:p>
        </w:tc>
      </w:tr>
      <w:tr>
        <w:trPr>
          <w:cantSplit/>
        </w:trPr>
        <w:tc>
          <w:tcPr>
            <w:tcW w:type="dxa" w:w="1814"/>
            <w:vAlign w:val="center"/>
          </w:tcPr>
          <w:p>
            <w:r>
              <w:t>PHP + Apache</w:t>
            </w:r>
          </w:p>
        </w:tc>
        <w:tc>
          <w:tcPr>
            <w:tcW w:type="dxa" w:w="2324"/>
            <w:vAlign w:val="center"/>
          </w:tcPr>
          <w:p>
            <w:r>
              <w:t>Imagen php:8.2-apache</w:t>
            </w:r>
          </w:p>
        </w:tc>
        <w:tc>
          <w:tcPr>
            <w:tcW w:type="dxa" w:w="4649"/>
            <w:vAlign w:val="center"/>
          </w:tcPr>
          <w:p>
            <w:r>
              <w:t>Lógica del servidor, sesiones, plantillas HTML y servidor web.</w:t>
            </w:r>
          </w:p>
        </w:tc>
      </w:tr>
      <w:tr>
        <w:trPr>
          <w:cantSplit/>
        </w:trPr>
        <w:tc>
          <w:tcPr>
            <w:tcW w:type="dxa" w:w="1814"/>
            <w:vAlign w:val="center"/>
            <w:shd w:fill="F7FAF8"/>
          </w:tcPr>
          <w:p>
            <w:r>
              <w:t>MySQL</w:t>
            </w:r>
          </w:p>
        </w:tc>
        <w:tc>
          <w:tcPr>
            <w:tcW w:type="dxa" w:w="2324"/>
            <w:vAlign w:val="center"/>
            <w:shd w:fill="F7FAF8"/>
          </w:tcPr>
          <w:p>
            <w:r>
              <w:t>Imagen mysql:8.0</w:t>
            </w:r>
          </w:p>
        </w:tc>
        <w:tc>
          <w:tcPr>
            <w:tcW w:type="dxa" w:w="4649"/>
            <w:vAlign w:val="center"/>
            <w:shd w:fill="F7FAF8"/>
          </w:tcPr>
          <w:p>
            <w:r>
              <w:t>Persistencia relacional con InnoDB, claves foráneas, índices y restricciones.</w:t>
            </w:r>
          </w:p>
        </w:tc>
      </w:tr>
      <w:tr>
        <w:trPr>
          <w:cantSplit/>
        </w:trPr>
        <w:tc>
          <w:tcPr>
            <w:tcW w:type="dxa" w:w="1814"/>
            <w:vAlign w:val="center"/>
          </w:tcPr>
          <w:p>
            <w:r>
              <w:t>PDO MySQL</w:t>
            </w:r>
          </w:p>
        </w:tc>
        <w:tc>
          <w:tcPr>
            <w:tcW w:type="dxa" w:w="2324"/>
            <w:vAlign w:val="center"/>
          </w:tcPr>
          <w:p>
            <w:r>
              <w:t>Extensión instalada en Dockerfile</w:t>
            </w:r>
          </w:p>
        </w:tc>
        <w:tc>
          <w:tcPr>
            <w:tcW w:type="dxa" w:w="4649"/>
            <w:vAlign w:val="center"/>
          </w:tcPr>
          <w:p>
            <w:r>
              <w:t>Conexión a MySQL, parámetros, transacciones y tratamiento de errores.</w:t>
            </w:r>
          </w:p>
        </w:tc>
      </w:tr>
      <w:tr>
        <w:trPr>
          <w:cantSplit/>
        </w:trPr>
        <w:tc>
          <w:tcPr>
            <w:tcW w:type="dxa" w:w="1814"/>
            <w:vAlign w:val="center"/>
            <w:shd w:fill="F7FAF8"/>
          </w:tcPr>
          <w:p>
            <w:r>
              <w:t>Bootstrap</w:t>
            </w:r>
          </w:p>
        </w:tc>
        <w:tc>
          <w:tcPr>
            <w:tcW w:type="dxa" w:w="2324"/>
            <w:vAlign w:val="center"/>
            <w:shd w:fill="F7FAF8"/>
          </w:tcPr>
          <w:p>
            <w:r>
              <w:t>5.3.8 local</w:t>
            </w:r>
          </w:p>
        </w:tc>
        <w:tc>
          <w:tcPr>
            <w:tcW w:type="dxa" w:w="4649"/>
            <w:vAlign w:val="center"/>
            <w:shd w:fill="F7FAF8"/>
          </w:tcPr>
          <w:p>
            <w:r>
              <w:t>Componentes y estilos base de la interfaz; no depende de una CDN.</w:t>
            </w:r>
          </w:p>
        </w:tc>
      </w:tr>
      <w:tr>
        <w:trPr>
          <w:cantSplit/>
        </w:trPr>
        <w:tc>
          <w:tcPr>
            <w:tcW w:type="dxa" w:w="1814"/>
            <w:vAlign w:val="center"/>
          </w:tcPr>
          <w:p>
            <w:r>
              <w:t>HTML, CSS y JavaScript</w:t>
            </w:r>
          </w:p>
        </w:tc>
        <w:tc>
          <w:tcPr>
            <w:tcW w:type="dxa" w:w="2324"/>
            <w:vAlign w:val="center"/>
          </w:tcPr>
          <w:p>
            <w:r>
              <w:t>Código del proyecto</w:t>
            </w:r>
          </w:p>
        </w:tc>
        <w:tc>
          <w:tcPr>
            <w:tcW w:type="dxa" w:w="4649"/>
            <w:vAlign w:val="center"/>
          </w:tcPr>
          <w:p>
            <w:r>
              <w:t>Formularios, diseño verde, navegación y ayudas de interacción.</w:t>
            </w:r>
          </w:p>
        </w:tc>
      </w:tr>
      <w:tr>
        <w:trPr>
          <w:cantSplit/>
        </w:trPr>
        <w:tc>
          <w:tcPr>
            <w:tcW w:type="dxa" w:w="1814"/>
            <w:vAlign w:val="center"/>
            <w:shd w:fill="F7FAF8"/>
          </w:tcPr>
          <w:p>
            <w:r>
              <w:t>Docker Compose</w:t>
            </w:r>
          </w:p>
        </w:tc>
        <w:tc>
          <w:tcPr>
            <w:tcW w:type="dxa" w:w="2324"/>
            <w:vAlign w:val="center"/>
            <w:shd w:fill="F7FAF8"/>
          </w:tcPr>
          <w:p>
            <w:r>
              <w:t>Versión del equipo no fijada</w:t>
            </w:r>
          </w:p>
        </w:tc>
        <w:tc>
          <w:tcPr>
            <w:tcW w:type="dxa" w:w="4649"/>
            <w:vAlign w:val="center"/>
            <w:shd w:fill="F7FAF8"/>
          </w:tcPr>
          <w:p>
            <w:r>
              <w:t>Levanta app y db, conecta servicios y conserva datos en un volumen.</w:t>
            </w:r>
          </w:p>
        </w:tc>
      </w:tr>
    </w:tbl>
    <w:p/>
    <w:p>
      <w:r>
        <w:t>No se utiliza un framework PHP ni un ORM. Las funciones de acceso a datos y de dominio están escritas para esta prueba y los nombres del dominio se mantienen en español.</w:t>
      </w:r>
    </w:p>
    <w:p>
      <w:pPr>
        <w:pStyle w:val="Heading1"/>
      </w:pPr>
      <w:r>
        <w:t>4. Ejecución y configuración local</w:t>
      </w:r>
    </w:p>
    <w:p>
      <w:r>
        <w:t>Desde la raíz del repositorio, docker compose up -d construye la imagen de la aplicación e inicia MySQL. La aplicación queda en http://localhost:8080 y MySQL admite herramientas locales por 127.0.0.1:3307, salvo que se cambien APP_PORT o MYSQL_PORT.</w:t>
      </w:r>
    </w:p>
    <w:tbl>
      <w:tblPr>
        <w:tblStyle w:val="TableGrid"/>
        <w:tblW w:type="auto" w:w="0"/>
        <w:tblLayout w:type="fixed"/>
        <w:tblLook w:firstColumn="1" w:firstRow="1" w:lastColumn="0" w:lastRow="0" w:noHBand="0" w:noVBand="1" w:val="04A0"/>
      </w:tblPr>
      <w:tblGrid>
        <w:gridCol w:w="4844"/>
        <w:gridCol w:w="4844"/>
      </w:tblGrid>
      <w:tr>
        <w:trPr>
          <w:cantSplit/>
        </w:trPr>
        <w:tc>
          <w:tcPr>
            <w:tcW w:type="dxa" w:w="1247"/>
            <w:shd w:fill="E8F4EE"/>
            <w:vAlign w:val="center"/>
          </w:tcPr>
          <w:p>
            <w:r>
              <w:rPr>
                <w:b/>
                <w:color w:val="0B674B"/>
              </w:rPr>
              <w:t>Servicio</w:t>
            </w:r>
          </w:p>
        </w:tc>
        <w:tc>
          <w:tcPr>
            <w:tcW w:type="dxa" w:w="7540"/>
            <w:shd w:fill="E8F4EE"/>
            <w:vAlign w:val="center"/>
          </w:tcPr>
          <w:p>
            <w:r>
              <w:rPr>
                <w:b/>
                <w:color w:val="0B674B"/>
              </w:rPr>
              <w:t>Configuración relevante</w:t>
            </w:r>
          </w:p>
        </w:tc>
      </w:tr>
      <w:tr>
        <w:trPr>
          <w:cantSplit/>
        </w:trPr>
        <w:tc>
          <w:tcPr>
            <w:tcW w:type="dxa" w:w="1247"/>
            <w:vAlign w:val="center"/>
          </w:tcPr>
          <w:p>
            <w:r>
              <w:t>app</w:t>
            </w:r>
          </w:p>
        </w:tc>
        <w:tc>
          <w:tcPr>
            <w:tcW w:type="dxa" w:w="7540"/>
            <w:vAlign w:val="center"/>
          </w:tcPr>
          <w:p>
            <w:r>
              <w:t>Se construye con Dockerfile a partir de php:8.2-apache; instala pdo_mysql. En Compose, public/ se monta en /var/www/html en modo de solo lectura. Espera a que db supere el control de salud.</w:t>
            </w:r>
          </w:p>
        </w:tc>
      </w:tr>
      <w:tr>
        <w:trPr>
          <w:cantSplit/>
        </w:trPr>
        <w:tc>
          <w:tcPr>
            <w:tcW w:type="dxa" w:w="1247"/>
            <w:vAlign w:val="center"/>
            <w:shd w:fill="F7FAF8"/>
          </w:tcPr>
          <w:p>
            <w:r>
              <w:t>db</w:t>
            </w:r>
          </w:p>
        </w:tc>
        <w:tc>
          <w:tcPr>
            <w:tcW w:type="dxa" w:w="7540"/>
            <w:vAlign w:val="center"/>
            <w:shd w:fill="F7FAF8"/>
          </w:tcPr>
          <w:p>
            <w:r>
              <w:t>Usa mysql:8.0. Guarda los datos en el volumen datos_mysql y lee db/init/ al crear un volumen vacío. El puerto de MySQL se publica únicamente en la interfaz local del equipo.</w:t>
            </w:r>
          </w:p>
        </w:tc>
      </w:tr>
    </w:tbl>
    <w:p/>
    <w:tbl>
      <w:tblPr>
        <w:tblStyle w:val="TableGrid"/>
        <w:tblW w:type="auto" w:w="0"/>
        <w:tblLayout w:type="fixed"/>
        <w:tblLook w:firstColumn="1" w:firstRow="1" w:lastColumn="0" w:lastRow="0" w:noHBand="0" w:noVBand="1" w:val="04A0"/>
      </w:tblPr>
      <w:tblGrid>
        <w:gridCol w:w="4844"/>
        <w:gridCol w:w="4844"/>
      </w:tblGrid>
      <w:tr>
        <w:trPr>
          <w:cantSplit/>
        </w:trPr>
        <w:tc>
          <w:tcPr>
            <w:tcW w:type="dxa" w:w="2948"/>
            <w:shd w:fill="E8F4EE"/>
            <w:vAlign w:val="center"/>
          </w:tcPr>
          <w:p>
            <w:r>
              <w:rPr>
                <w:b/>
                <w:color w:val="0B674B"/>
              </w:rPr>
              <w:t>Variable</w:t>
            </w:r>
          </w:p>
        </w:tc>
        <w:tc>
          <w:tcPr>
            <w:tcW w:type="dxa" w:w="5839"/>
            <w:shd w:fill="E8F4EE"/>
            <w:vAlign w:val="center"/>
          </w:tcPr>
          <w:p>
            <w:r>
              <w:rPr>
                <w:b/>
                <w:color w:val="0B674B"/>
              </w:rPr>
              <w:t>Función</w:t>
            </w:r>
          </w:p>
        </w:tc>
      </w:tr>
      <w:tr>
        <w:trPr>
          <w:cantSplit/>
        </w:trPr>
        <w:tc>
          <w:tcPr>
            <w:tcW w:type="dxa" w:w="2948"/>
            <w:vAlign w:val="center"/>
          </w:tcPr>
          <w:p>
            <w:r>
              <w:t>DB_HOST, DB_PORT</w:t>
            </w:r>
          </w:p>
        </w:tc>
        <w:tc>
          <w:tcPr>
            <w:tcW w:type="dxa" w:w="5839"/>
            <w:vAlign w:val="center"/>
          </w:tcPr>
          <w:p>
            <w:r>
              <w:t>Dirección interna de MySQL para PHP: db y 3306.</w:t>
            </w:r>
          </w:p>
        </w:tc>
      </w:tr>
      <w:tr>
        <w:trPr>
          <w:cantSplit/>
        </w:trPr>
        <w:tc>
          <w:tcPr>
            <w:tcW w:type="dxa" w:w="2948"/>
            <w:vAlign w:val="center"/>
            <w:shd w:fill="F7FAF8"/>
          </w:tcPr>
          <w:p>
            <w:r>
              <w:t>DB_NAME, DB_USER, DB_PASSWORD</w:t>
            </w:r>
          </w:p>
        </w:tc>
        <w:tc>
          <w:tcPr>
            <w:tcW w:type="dxa" w:w="5839"/>
            <w:vAlign w:val="center"/>
            <w:shd w:fill="F7FAF8"/>
          </w:tcPr>
          <w:p>
            <w:r>
              <w:t>Base, usuario de aplicación y contraseña de conexión; Compose admite valores de demostración locales si faltan.</w:t>
            </w:r>
          </w:p>
        </w:tc>
      </w:tr>
      <w:tr>
        <w:trPr>
          <w:cantSplit/>
        </w:trPr>
        <w:tc>
          <w:tcPr>
            <w:tcW w:type="dxa" w:w="2948"/>
            <w:vAlign w:val="center"/>
          </w:tcPr>
          <w:p>
            <w:r>
              <w:t>MYSQL_ROOT_PASSWORD</w:t>
            </w:r>
          </w:p>
        </w:tc>
        <w:tc>
          <w:tcPr>
            <w:tcW w:type="dxa" w:w="5839"/>
            <w:vAlign w:val="center"/>
          </w:tcPr>
          <w:p>
            <w:r>
              <w:t>Contraseña administrativa usada por el contenedor MySQL; no se emplea en las consultas de la aplicación.</w:t>
            </w:r>
          </w:p>
        </w:tc>
      </w:tr>
      <w:tr>
        <w:trPr>
          <w:cantSplit/>
        </w:trPr>
        <w:tc>
          <w:tcPr>
            <w:tcW w:type="dxa" w:w="2948"/>
            <w:vAlign w:val="center"/>
            <w:shd w:fill="F7FAF8"/>
          </w:tcPr>
          <w:p>
            <w:r>
              <w:t>APP_PORT, MYSQL_PORT</w:t>
            </w:r>
          </w:p>
        </w:tc>
        <w:tc>
          <w:tcPr>
            <w:tcW w:type="dxa" w:w="5839"/>
            <w:vAlign w:val="center"/>
            <w:shd w:fill="F7FAF8"/>
          </w:tcPr>
          <w:p>
            <w:r>
              <w:t>Puertos publicados en el equipo; valores habituales 8080 y 3307.</w:t>
            </w:r>
          </w:p>
        </w:tc>
      </w:tr>
      <w:tr>
        <w:trPr>
          <w:cantSplit/>
        </w:trPr>
        <w:tc>
          <w:tcPr>
            <w:tcW w:type="dxa" w:w="2948"/>
            <w:vAlign w:val="center"/>
          </w:tcPr>
          <w:p>
            <w:r>
              <w:t>TZ</w:t>
            </w:r>
          </w:p>
        </w:tc>
        <w:tc>
          <w:tcPr>
            <w:tcW w:type="dxa" w:w="5839"/>
            <w:vAlign w:val="center"/>
          </w:tcPr>
          <w:p>
            <w:r>
              <w:t>Se fija en America/Bogota en ambos servicios; el código de fechas usa explícitamente UTC y Bogotá donde corresponde.</w:t>
            </w:r>
          </w:p>
        </w:tc>
      </w:tr>
    </w:tbl>
    <w:p/>
    <w:p>
      <w:r>
        <w:t>.env.example muestra qué variables se pueden personalizar. .env es local y está excluido de Git. Los valores de demostración del Compose permiten arrancar una copia sin pasos adicionales, pero un despliegue público debe recibir credenciales privadas fuera del repositorio. .dockerignore evita enviar documentación, scripts SQL y archivos locales al construir la imagen; MySQL recibe db/init/ mediante un montaje de Compose.</w:t>
      </w:r>
    </w:p>
    <w:p>
      <w:r>
        <w:t>La inicialización automática ejecuta 01_schema.sql y luego 02_seed.sql solo cuando el volumen MySQL está vacío. Una base ya creada requiere las migraciones aplicables de db/migraciones/; editar los scripts iniciales no modifica por sí mismo los datos existentes.</w:t>
      </w:r>
    </w:p>
    <w:p>
      <w:pPr>
        <w:pStyle w:val="Heading1"/>
      </w:pPr>
      <w:r>
        <w:t>5. Datos, cálculos y fechas</w:t>
      </w:r>
    </w:p>
    <w:p>
      <w:r>
        <w:t>El esquema actual contiene doce tablas: roles, usuarios, intentos_acceso, clientes, categorias, productos, secuencias, pedidos, pedido_detalle, pagos, devoluciones y movimientos_inventario. MySQL 8.0 utiliza InnoDB, utf8mb4, claves foráneas, índices y restricciones CHECK. El modelo original recibido contiene nueve tablas; roles, intentos_acceso y devoluciones son incorporaciones del proyecto.</w:t>
      </w:r>
    </w:p>
    <w:p>
      <w:pPr>
        <w:pStyle w:val="ListBullet"/>
      </w:pPr>
      <w:r>
        <w:t>La conexión PDO usa excepciones, devuelve filas asociativas y desactiva la emulación de sentencias preparadas. Las entradas de usuario se pasan como parámetros en las consultas correspondientes.</w:t>
      </w:r>
    </w:p>
    <w:p>
      <w:pPr>
        <w:pStyle w:val="ListBullet"/>
      </w:pPr>
      <w:r>
        <w:t>Las operaciones de pedido, stock, pagos y devoluciones usan transacciones y bloqueos FOR UPDATE cuando una decisión depende de datos que pueden cambiar de forma concurrente.</w:t>
      </w:r>
    </w:p>
    <w:p>
      <w:pPr>
        <w:pStyle w:val="ListBullet"/>
      </w:pPr>
      <w:r>
        <w:t>Los importes se almacenan como DECIMAL(14,2). Los cálculos del pedido convierten importes a centavos enteros para evitar errores de coma flotante, y luego guardan el resultado decimal.</w:t>
      </w:r>
    </w:p>
    <w:p>
      <w:pPr>
        <w:pStyle w:val="ListBullet"/>
      </w:pPr>
      <w:r>
        <w:t>Las fechas operativas de pedidos, pagos, devoluciones y movimientos se guardan en UTC. La interfaz las presenta en America/Bogota; los límites del informe mensual se calculan en Bogotá y se convierten a UTC para consultar la base.</w:t>
      </w:r>
    </w:p>
    <w:p>
      <w:pPr>
        <w:pStyle w:val="Heading1"/>
      </w:pPr>
      <w:r>
        <w:t>6. Seguridad de acceso</w:t>
      </w:r>
    </w:p>
    <w:p>
      <w:pPr>
        <w:pStyle w:val="ListBullet"/>
      </w:pPr>
      <w:r>
        <w:t>Las contraseñas de prueba se almacenan como hash bcrypt ($2y$, costo 10); PHP comprueba la contraseña mediante password_verify(). No se almacena la contraseña en claro en la tabla de usuarios.</w:t>
      </w:r>
    </w:p>
    <w:p>
      <w:pPr>
        <w:pStyle w:val="ListBullet"/>
      </w:pPr>
      <w:r>
        <w:t>La sesión PHP se identifica mediante una cookie HttpOnly y SameSite=Lax. El identificador se renueva al ingresar. La aplicación la vence tras 30 minutos de inactividad o 8 horas desde el ingreso.</w:t>
      </w:r>
    </w:p>
    <w:p>
      <w:pPr>
        <w:pStyle w:val="ListBullet"/>
      </w:pPr>
      <w:r>
        <w:t>Los formularios de escritura incluyen un token CSRF guardado en la sesión y verificado con hash_equals(). Las páginas comprueban permisos en el servidor, además de ocultar opciones no autorizadas en el menú.</w:t>
      </w:r>
    </w:p>
    <w:p>
      <w:pPr>
        <w:pStyle w:val="ListBullet"/>
      </w:pPr>
      <w:r>
        <w:t>El acceso limita los fallos durante ventanas de 15 minutos: cinco por correo o veinte por IP. Los contadores se guardan en MySQL con claves SHA-256 derivadas de esos datos.</w:t>
      </w:r>
    </w:p>
    <w:p>
      <w:pPr>
        <w:pStyle w:val="ListBullet"/>
      </w:pPr>
      <w:r>
        <w:t>La salida HTML dinámica pasa por htmlspecialchars() con UTF-8. La cookie se marca Secure cuando PHP detecta HTTPS; al desplegar tras un proxy o balanceador debe verificarse esa detección.</w:t>
      </w:r>
    </w:p>
    <w:p>
      <w:pPr>
        <w:pStyle w:val="Heading1"/>
      </w:pPr>
      <w:r>
        <w:t>7. Estado y fuentes de verificación</w:t>
      </w:r>
    </w:p>
    <w:p>
      <w:r>
        <w:t>Este documento describe la implementación local revisada el 27 de octubre de 2026. La publicación y configuración definitiva en AWS todavía debe documentarse después de desplegarla. Un pedido confirmado con abonos se puede anular: el stock se restituye y los pagos permanecen como dinero pendiente de devolver. El administrador registra la devolución total solo después de entregar el dinero fuera del sistema; la aplicación no efectúa transferencias automáticamente.</w:t>
      </w:r>
    </w:p>
    <w:p>
      <w:r>
        <w:t>Archivos consultados: Dockerfile, docker-compose.yml, .env.example, .dockerignore, db/init/01_schema.sql, db/init/02_seed.sql, db/migraciones/003_devoluciones.sql, public/includes/conexion.php, public/includes/sesion.php, public/includes/permisos.php, public/includes/intentos_acceso.php, public/pedidos/calculos.php, public/pedidos/funciones.php, public/pagos/funciones.php, public/pagos/devolucion.php y README.md. La especificación base se conserva en docs/Requerimientos_Aplicativo_Pedidos.pdf.</w:t>
      </w:r>
    </w:p>
    <w:sectPr w:rsidR="00FC693F" w:rsidRPr="0006063C" w:rsidSect="00034616">
      <w:headerReference w:type="default" r:id="rId9"/>
      <w:footerReference w:type="default" r:id="rId10"/>
      <w:pgSz w:w="12240" w:h="15840"/>
      <w:pgMar w:top="1247" w:right="1276" w:bottom="1134"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5C"/>
        <w:sz w:val="16"/>
      </w:rPr>
      <w:t xml:space="preserve">Arquitectura y tecnologías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2615C"/>
        <w:sz w:val="16"/>
      </w:rPr>
      <w:t>DISTRIBUIDORA ANDINA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sz w:val="21"/>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b/>
      <w:bCs/>
      <w:color w:val="0B674B"/>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0B674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B67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y tecnologías del sistema de pedidos</dc:title>
  <dc:subject>Documentación técnica de Distribuidora Andina S.A.S.</dc:subject>
  <dc:creator>Equipo del proyecto</dc:creator>
  <cp:keywords>PHP; MySQL; Docker; arquitectura; prueba técnica</cp:keywords>
  <dc:description>generated by python-docx</dc:description>
  <cp:lastModifiedBy/>
  <cp:revision>1</cp:revision>
  <dcterms:created xsi:type="dcterms:W3CDTF">2013-12-23T23:15:00Z</dcterms:created>
  <dcterms:modified xsi:type="dcterms:W3CDTF">2013-12-23T23:15:00Z</dcterms:modified>
  <cp:category/>
</cp:coreProperties>
</file>