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B98314"/>
          <w:sz w:val="15"/>
        </w:rPr>
        <w:t>MOLISELVA · TAREA 11</w:t>
      </w:r>
    </w:p>
    <w:p>
      <w:pPr>
        <w:spacing w:after="40"/>
      </w:pPr>
      <w:r>
        <w:rPr>
          <w:rFonts w:ascii="Georgia" w:hAnsi="Georgia"/>
          <w:color w:val="123B2B"/>
          <w:sz w:val="50"/>
        </w:rPr>
        <w:t>Moliselva · Recepción de maíz y kardex</w:t>
      </w:r>
    </w:p>
    <w:p>
      <w:pPr>
        <w:spacing w:after="160"/>
      </w:pPr>
      <w:r>
        <w:rPr>
          <w:color w:val="667269"/>
          <w:sz w:val="21"/>
        </w:rPr>
        <w:t>README técnico · Frontend de la Tarea 11</w:t>
      </w:r>
    </w:p>
    <w:p>
      <w:pPr>
        <w:spacing w:after="240"/>
        <w:pBdr>
          <w:bottom w:val="single" w:sz="10" w:space="4" w:color="B98314"/>
        </w:pBdr>
      </w:pPr>
    </w:p>
    <w:p>
      <w:r>
        <w:rPr>
          <w:sz w:val="20"/>
        </w:rPr>
        <w:t xml:space="preserve">Frontend de la Tarea 11 para el proceso </w:t>
      </w:r>
      <w:r>
        <w:rPr>
          <w:b/>
          <w:color w:val="123B2B"/>
          <w:sz w:val="20"/>
        </w:rPr>
        <w:t>PO-01 Recepción y acondicionamiento de maíz</w:t>
      </w:r>
      <w:r>
        <w:rPr>
          <w:sz w:val="20"/>
        </w:rPr>
        <w:t>. La aplicación concentra la demostración en tres pantallas operativas y consume la API real del backend de la Tarea 10.</w:t>
      </w:r>
    </w:p>
    <w:p>
      <w:pPr>
        <w:pStyle w:val="Heading2"/>
      </w:pPr>
      <w:r>
        <w:rPr>
          <w:sz w:val="26"/>
        </w:rPr>
        <w:t>Alcance</w:t>
      </w:r>
    </w:p>
    <w:p>
      <w:pPr>
        <w:pStyle w:val="ListBullet"/>
        <w:spacing w:after="40"/>
        <w:ind w:left="340" w:hanging="170"/>
      </w:pPr>
      <w:r>
        <w:rPr>
          <w:b/>
          <w:color w:val="123B2B"/>
          <w:sz w:val="20"/>
        </w:rPr>
        <w:t>Acceso:</w:t>
      </w:r>
      <w:r>
        <w:rPr>
          <w:sz w:val="20"/>
        </w:rPr>
        <w:t xml:space="preserve"> autenticación con JWT, sesión en </w:t>
      </w:r>
      <w:r>
        <w:rPr>
          <w:rFonts w:ascii="Consolas" w:hAnsi="Consolas"/>
          <w:color w:val="4A5A50"/>
          <w:sz w:val="20"/>
        </w:rPr>
        <w:t>sessionStorage</w:t>
      </w:r>
      <w:r>
        <w:rPr>
          <w:sz w:val="20"/>
        </w:rPr>
        <w:t xml:space="preserve"> y redirección según rol.</w:t>
      </w:r>
    </w:p>
    <w:p>
      <w:pPr>
        <w:pStyle w:val="ListBullet"/>
        <w:spacing w:after="40"/>
        <w:ind w:left="340" w:hanging="170"/>
      </w:pPr>
      <w:r>
        <w:rPr>
          <w:b/>
          <w:color w:val="123B2B"/>
          <w:sz w:val="20"/>
        </w:rPr>
        <w:t>Recepción de maíz:</w:t>
      </w:r>
      <w:r>
        <w:rPr>
          <w:sz w:val="20"/>
        </w:rPr>
        <w:t xml:space="preserve"> registro de proveedor, peso bruto, tara, sacos, humedad y merma; cálculo de peso neto y entrada al kardex; bandeja diaria con filtros y decisión del jefe de planta.</w:t>
      </w:r>
    </w:p>
    <w:p>
      <w:pPr>
        <w:pStyle w:val="ListBullet"/>
        <w:spacing w:after="40"/>
        <w:ind w:left="340" w:hanging="170"/>
      </w:pPr>
      <w:r>
        <w:rPr>
          <w:b/>
          <w:color w:val="123B2B"/>
          <w:sz w:val="20"/>
        </w:rPr>
        <w:t>Kardex de maíz:</w:t>
      </w:r>
      <w:r>
        <w:rPr>
          <w:sz w:val="20"/>
        </w:rPr>
        <w:t xml:space="preserve"> stock actual, libro de movimientos, saldo acumulado y exportación CSV.</w:t>
      </w:r>
    </w:p>
    <w:p>
      <w:pPr>
        <w:pStyle w:val="ListBullet"/>
        <w:spacing w:after="40"/>
        <w:ind w:left="340" w:hanging="170"/>
      </w:pPr>
      <w:r>
        <w:rPr>
          <w:b/>
          <w:color w:val="123B2B"/>
          <w:sz w:val="20"/>
        </w:rPr>
        <w:t>Responsive:</w:t>
      </w:r>
      <w:r>
        <w:rPr>
          <w:sz w:val="20"/>
        </w:rPr>
        <w:t xml:space="preserve"> diseño operativo para escritorio, tablet y móvil.</w:t>
      </w:r>
    </w:p>
    <w:p>
      <w:pPr>
        <w:pStyle w:val="ListBullet"/>
        <w:spacing w:after="40"/>
        <w:ind w:left="340" w:hanging="170"/>
      </w:pPr>
      <w:r>
        <w:rPr>
          <w:b/>
          <w:color w:val="123B2B"/>
          <w:sz w:val="20"/>
        </w:rPr>
        <w:t>PWA:</w:t>
      </w:r>
      <w:r>
        <w:rPr>
          <w:sz w:val="20"/>
        </w:rPr>
        <w:t xml:space="preserve"> build instalable con service worker y navegación por hash.</w:t>
      </w:r>
    </w:p>
    <w:p>
      <w:r>
        <w:rPr>
          <w:sz w:val="20"/>
        </w:rPr>
        <w:t>Producción por lote, pedidos y despachos no forman parte de esta entrega. El backend conserva esos módulos, pero la interfaz se limitó al escenario PO-01 para que la revisión sea verificable de punta a punta.</w:t>
      </w:r>
    </w:p>
    <w:p>
      <w:pPr>
        <w:pStyle w:val="Heading2"/>
      </w:pPr>
      <w:r>
        <w:rPr>
          <w:sz w:val="26"/>
        </w:rPr>
        <w:t>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64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464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Versión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React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18.3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TypeScript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5.7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Vite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6.0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React Router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6.30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Vitest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2.1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vite-plugin-pwa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0.21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Inicio rápido</w:t>
      </w:r>
    </w:p>
    <w:p>
      <w:r>
        <w:rPr>
          <w:sz w:val="20"/>
        </w:rPr>
        <w:t xml:space="preserve">Requisitos: Node.js 20 o superior, npm y, para el modo integrado, el backend de Moliselva con PostgreSQL en </w:t>
      </w:r>
      <w:r>
        <w:rPr>
          <w:rFonts w:ascii="Consolas" w:hAnsi="Consolas"/>
          <w:color w:val="4A5A50"/>
          <w:sz w:val="20"/>
        </w:rPr>
        <w:t>http://localhost:8080</w:t>
      </w:r>
      <w:r>
        <w:rPr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npm install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npm run dev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La aplicación se abre en </w:t>
      </w:r>
      <w:r>
        <w:rPr>
          <w:rFonts w:ascii="Consolas" w:hAnsi="Consolas"/>
          <w:color w:val="4A5A50"/>
          <w:sz w:val="20"/>
        </w:rPr>
        <w:t>http://localhost:5173</w:t>
      </w:r>
      <w:r>
        <w:rPr>
          <w:sz w:val="20"/>
        </w:rPr>
        <w:t xml:space="preserve">. El archivo </w:t>
      </w:r>
      <w:r>
        <w:rPr>
          <w:rFonts w:ascii="Consolas" w:hAnsi="Consolas"/>
          <w:color w:val="4A5A50"/>
          <w:sz w:val="20"/>
        </w:rPr>
        <w:t>.env.development</w:t>
      </w:r>
      <w:r>
        <w:rPr>
          <w:sz w:val="20"/>
        </w:rPr>
        <w:t xml:space="preserve"> apunta a la API local: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VITE_API_URL=http://localhost:8080/api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El backend debe permitir el origen </w:t>
      </w:r>
      <w:r>
        <w:rPr>
          <w:rFonts w:ascii="Consolas" w:hAnsi="Consolas"/>
          <w:color w:val="4A5A50"/>
          <w:sz w:val="20"/>
        </w:rPr>
        <w:t>http://localhost:5173</w:t>
      </w:r>
      <w:r>
        <w:rPr>
          <w:sz w:val="20"/>
        </w:rPr>
        <w:t xml:space="preserve">. El CORS local está configurado para ese origen; use </w:t>
      </w:r>
      <w:r>
        <w:rPr>
          <w:rFonts w:ascii="Consolas" w:hAnsi="Consolas"/>
          <w:color w:val="4A5A50"/>
          <w:sz w:val="20"/>
        </w:rPr>
        <w:t>localhost</w:t>
      </w:r>
      <w:r>
        <w:rPr>
          <w:sz w:val="20"/>
        </w:rPr>
        <w:t xml:space="preserve">, no </w:t>
      </w:r>
      <w:r>
        <w:rPr>
          <w:rFonts w:ascii="Consolas" w:hAnsi="Consolas"/>
          <w:color w:val="4A5A50"/>
          <w:sz w:val="20"/>
        </w:rPr>
        <w:t>127.0.0.1</w:t>
      </w:r>
      <w:r>
        <w:rPr>
          <w:sz w:val="20"/>
        </w:rPr>
        <w:t>.</w:t>
      </w:r>
    </w:p>
    <w:p>
      <w:pPr>
        <w:pStyle w:val="Heading3"/>
      </w:pPr>
      <w:r>
        <w:rPr>
          <w:sz w:val="21"/>
        </w:rPr>
        <w:t>Modo demo sin backend</w:t>
      </w:r>
    </w:p>
    <w:p>
      <w:r>
        <w:rPr>
          <w:sz w:val="20"/>
        </w:rPr>
        <w:t xml:space="preserve">El modo demo usa </w:t>
      </w:r>
      <w:r>
        <w:rPr>
          <w:rFonts w:ascii="Consolas" w:hAnsi="Consolas"/>
          <w:color w:val="4A5A50"/>
          <w:sz w:val="20"/>
        </w:rPr>
        <w:t>localStorage</w:t>
      </w:r>
      <w:r>
        <w:rPr>
          <w:sz w:val="20"/>
        </w:rPr>
        <w:t xml:space="preserve"> y datos ficticios. Se activa cuando no existe </w:t>
      </w:r>
      <w:r>
        <w:rPr>
          <w:rFonts w:ascii="Consolas" w:hAnsi="Consolas"/>
          <w:color w:val="4A5A50"/>
          <w:sz w:val="20"/>
        </w:rPr>
        <w:t>VITE_API_URL</w:t>
      </w:r>
      <w:r>
        <w:rPr>
          <w:sz w:val="20"/>
        </w:rPr>
        <w:t xml:space="preserve"> o cuando se fuerza con </w:t>
      </w:r>
      <w:r>
        <w:rPr>
          <w:rFonts w:ascii="Consolas" w:hAnsi="Consolas"/>
          <w:color w:val="4A5A50"/>
          <w:sz w:val="20"/>
        </w:rPr>
        <w:t>VITE_USAR_MOCKS</w:t>
      </w:r>
      <w:r>
        <w:rPr>
          <w:sz w:val="2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VITE_USAR_MOCKS=true npm run dev</w:t>
            </w:r>
          </w:p>
        </w:tc>
      </w:tr>
    </w:tbl>
    <w:p>
      <w:pPr>
        <w:spacing w:after="40"/>
      </w:pPr>
    </w:p>
    <w:p>
      <w:r>
        <w:rPr>
          <w:sz w:val="20"/>
        </w:rPr>
        <w:t>Para revisar el build de producción en modo demo: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npm run build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npm run preview</w:t>
            </w:r>
          </w:p>
        </w:tc>
      </w:tr>
    </w:tbl>
    <w:p>
      <w:pPr>
        <w:spacing w:after="40"/>
      </w:pPr>
    </w:p>
    <w:p>
      <w:r>
        <w:rPr>
          <w:sz w:val="20"/>
        </w:rPr>
        <w:t xml:space="preserve">La vista previa se abre en </w:t>
      </w:r>
      <w:r>
        <w:rPr>
          <w:rFonts w:ascii="Consolas" w:hAnsi="Consolas"/>
          <w:color w:val="4A5A50"/>
          <w:sz w:val="20"/>
        </w:rPr>
        <w:t>http://localhost:4173</w:t>
      </w:r>
      <w:r>
        <w:rPr>
          <w:sz w:val="20"/>
        </w:rPr>
        <w:t>.</w:t>
      </w:r>
    </w:p>
    <w:p>
      <w:pPr>
        <w:pStyle w:val="Heading2"/>
      </w:pPr>
      <w:r>
        <w:rPr>
          <w:sz w:val="26"/>
        </w:rPr>
        <w:t>Usuarios de prueba</w:t>
      </w:r>
    </w:p>
    <w:p>
      <w:r>
        <w:rPr>
          <w:sz w:val="20"/>
        </w:rPr>
        <w:t>Los nombres de usuario se mantienen estables para la integración. Los nombres visibles corresponden a los datos de demostración.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Usuario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Clave API local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Clave demo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admin_demo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Lucía Mendoza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MoliselvaDemo2026!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demo123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jefe_demo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María Quispe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Jefe de planta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MoliselvaDemo2026!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demo123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operario_demo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Carlos Ríos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Operario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MoliselvaDemo2026!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demo123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contadora_demo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Ana Torres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Contadora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MoliselvaDemo2026!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demo123</w:t>
            </w:r>
          </w:p>
        </w:tc>
      </w:tr>
    </w:tbl>
    <w:p>
      <w:pPr>
        <w:spacing w:after="40"/>
      </w:pPr>
    </w:p>
    <w:p>
      <w:r>
        <w:rPr>
          <w:sz w:val="20"/>
        </w:rPr>
        <w:t>Las claves corresponden únicamente al entorno local de demostración. No se reutilizan en producción.</w:t>
      </w:r>
    </w:p>
    <w:p>
      <w:pPr>
        <w:pStyle w:val="Heading2"/>
      </w:pPr>
      <w:r>
        <w:rPr>
          <w:sz w:val="26"/>
        </w:rPr>
        <w:t>Roles y permisos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Administrador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Jefe de planta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Operario</w:t>
            </w:r>
          </w:p>
        </w:tc>
        <w:tc>
          <w:tcPr>
            <w:tcW w:type="dxa" w:w="1860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Contadora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Iniciar sesión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Registrar recepción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Decidir recepción pendiente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Consultar bandeja del día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Consultar kardex y stock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</w:tr>
      <w:tr>
        <w:trPr>
          <w:cantSplit w:val="true"/>
        </w:trPr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Exportar kardex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</w:t>
            </w:r>
          </w:p>
        </w:tc>
        <w:tc>
          <w:tcPr>
            <w:tcW w:type="dxa" w:w="1860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Sí</w:t>
            </w:r>
          </w:p>
        </w:tc>
      </w:tr>
    </w:tbl>
    <w:p>
      <w:pPr>
        <w:spacing w:after="40"/>
      </w:pPr>
    </w:p>
    <w:p>
      <w:r>
        <w:rPr>
          <w:sz w:val="20"/>
        </w:rPr>
        <w:t>Al ingresar, el operario y el jefe de planta abren Recepción; el administrador y la contadora abren Kardex. La interfaz oculta las acciones no permitidas y el backend valida el rol en cada operación.</w:t>
      </w:r>
    </w:p>
    <w:p>
      <w:pPr>
        <w:pStyle w:val="Heading2"/>
      </w:pPr>
      <w:r>
        <w:rPr>
          <w:sz w:val="26"/>
        </w:rPr>
        <w:t>Reglas de negocio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Humedad menor o igual a </w:t>
      </w:r>
      <w:r>
        <w:rPr>
          <w:b/>
          <w:color w:val="123B2B"/>
          <w:sz w:val="20"/>
        </w:rPr>
        <w:t>14.5%</w:t>
      </w:r>
      <w:r>
        <w:rPr>
          <w:sz w:val="20"/>
        </w:rPr>
        <w:t xml:space="preserve">: recepción </w:t>
      </w:r>
      <w:r>
        <w:rPr>
          <w:b/>
          <w:color w:val="123B2B"/>
          <w:sz w:val="20"/>
        </w:rPr>
        <w:t>ACEPTADA</w:t>
      </w:r>
      <w:r>
        <w:rPr>
          <w:sz w:val="20"/>
        </w:rPr>
        <w:t xml:space="preserve"> automáticamente y entrada inmediata al kardex.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Humedad mayor a 14.5% y menor o igual a </w:t>
      </w:r>
      <w:r>
        <w:rPr>
          <w:b/>
          <w:color w:val="123B2B"/>
          <w:sz w:val="20"/>
        </w:rPr>
        <w:t>15%</w:t>
      </w:r>
      <w:r>
        <w:rPr>
          <w:sz w:val="20"/>
        </w:rPr>
        <w:t xml:space="preserve">: recepción </w:t>
      </w:r>
      <w:r>
        <w:rPr>
          <w:b/>
          <w:color w:val="123B2B"/>
          <w:sz w:val="20"/>
        </w:rPr>
        <w:t>PENDIENTE</w:t>
      </w:r>
      <w:r>
        <w:rPr>
          <w:sz w:val="20"/>
        </w:rPr>
        <w:t>; solo el jefe de planta acepta o rechaza con un motivo.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Humedad mayor a </w:t>
      </w:r>
      <w:r>
        <w:rPr>
          <w:b/>
          <w:color w:val="123B2B"/>
          <w:sz w:val="20"/>
        </w:rPr>
        <w:t>15%</w:t>
      </w:r>
      <w:r>
        <w:rPr>
          <w:sz w:val="20"/>
        </w:rPr>
        <w:t xml:space="preserve">: recepción </w:t>
      </w:r>
      <w:r>
        <w:rPr>
          <w:b/>
          <w:color w:val="123B2B"/>
          <w:sz w:val="20"/>
        </w:rPr>
        <w:t>RECHAZADA</w:t>
      </w:r>
      <w:r>
        <w:rPr>
          <w:sz w:val="20"/>
        </w:rPr>
        <w:t>, sin movimiento de inventario.</w:t>
      </w:r>
    </w:p>
    <w:p>
      <w:pPr>
        <w:pStyle w:val="ListBullet"/>
        <w:spacing w:after="40"/>
        <w:ind w:left="340" w:hanging="170"/>
      </w:pPr>
      <w:r>
        <w:rPr>
          <w:sz w:val="20"/>
        </w:rPr>
        <w:t>Peso neto = peso bruto − tara − peso de sacos.</w:t>
      </w:r>
    </w:p>
    <w:p>
      <w:pPr>
        <w:pStyle w:val="ListBullet"/>
        <w:spacing w:after="40"/>
        <w:ind w:left="340" w:hanging="170"/>
      </w:pPr>
      <w:r>
        <w:rPr>
          <w:sz w:val="20"/>
        </w:rPr>
        <w:t>Entrada al kardex = peso neto − merma de limpieza.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kardex es inmutable. Las correcciones se registran como ajustes con motivo y usuario.</w:t>
      </w:r>
    </w:p>
    <w:p>
      <w:pPr>
        <w:pStyle w:val="ListBullet"/>
        <w:spacing w:after="40"/>
        <w:ind w:left="340" w:hanging="170"/>
      </w:pPr>
      <w:r>
        <w:rPr>
          <w:sz w:val="20"/>
        </w:rPr>
        <w:t>Una recepción pendiente no modifica el stock hasta que el jefe de planta la acepta.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operario no puede decidir ni exportar el kardex.</w:t>
      </w:r>
    </w:p>
    <w:p>
      <w:pPr>
        <w:pStyle w:val="Heading2"/>
      </w:pPr>
      <w:r>
        <w:rPr>
          <w:sz w:val="26"/>
        </w:rPr>
        <w:t>Integración con la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309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POST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/auth/login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Inicio de sesión y token JWT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GET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/proveedores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Proveedores activos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GET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/recepciones?fecha=AAAA-MM-DD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Bandeja diaria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POST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/recepciones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Registrar recepción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PATCH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/recepciones/{id}/decision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Aceptar o rechazar una pendiente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GET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/inventario/maiz/kardex</w:t>
            </w:r>
          </w:p>
        </w:tc>
        <w:tc>
          <w:tcPr>
            <w:tcW w:type="dxa" w:w="309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Libro de movimientos</w:t>
            </w:r>
          </w:p>
        </w:tc>
      </w:tr>
      <w:tr>
        <w:trPr>
          <w:cantSplit w:val="true"/>
        </w:trPr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GET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/inventario/maiz/stock</w:t>
            </w:r>
          </w:p>
        </w:tc>
        <w:tc>
          <w:tcPr>
            <w:tcW w:type="dxa" w:w="309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Stock actual de maíz</w:t>
            </w:r>
          </w:p>
        </w:tc>
      </w:tr>
    </w:tbl>
    <w:p>
      <w:pPr>
        <w:spacing w:after="40"/>
      </w:pP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El token se envía como </w:t>
      </w:r>
      <w:r>
        <w:rPr>
          <w:rFonts w:ascii="Consolas" w:hAnsi="Consolas"/>
          <w:color w:val="4A5A50"/>
          <w:sz w:val="20"/>
        </w:rPr>
        <w:t>Authorization: Bearer &lt;token&gt;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La sesión se guarda en </w:t>
      </w:r>
      <w:r>
        <w:rPr>
          <w:rFonts w:ascii="Consolas" w:hAnsi="Consolas"/>
          <w:color w:val="4A5A50"/>
          <w:sz w:val="20"/>
        </w:rPr>
        <w:t>sessionStorage</w:t>
      </w:r>
      <w:r>
        <w:rPr>
          <w:sz w:val="20"/>
        </w:rPr>
        <w:t xml:space="preserve"> con la clave </w:t>
      </w:r>
      <w:r>
        <w:rPr>
          <w:rFonts w:ascii="Consolas" w:hAnsi="Consolas"/>
          <w:color w:val="4A5A50"/>
          <w:sz w:val="20"/>
        </w:rPr>
        <w:t>moliselva_session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La URL base se configura con </w:t>
      </w:r>
      <w:r>
        <w:rPr>
          <w:rFonts w:ascii="Consolas" w:hAnsi="Consolas"/>
          <w:color w:val="4A5A50"/>
          <w:sz w:val="20"/>
        </w:rPr>
        <w:t>VITE_API_URL</w:t>
      </w:r>
      <w:r>
        <w:rPr>
          <w:sz w:val="20"/>
        </w:rPr>
        <w:t xml:space="preserve"> y debe incluir el prefijo </w:t>
      </w:r>
      <w:r>
        <w:rPr>
          <w:rFonts w:ascii="Consolas" w:hAnsi="Consolas"/>
          <w:color w:val="4A5A50"/>
          <w:sz w:val="20"/>
        </w:rPr>
        <w:t>/api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El cliente HTTP está en </w:t>
      </w:r>
      <w:r>
        <w:rPr>
          <w:rFonts w:ascii="Consolas" w:hAnsi="Consolas"/>
          <w:color w:val="4A5A50"/>
          <w:sz w:val="20"/>
        </w:rPr>
        <w:t>src/po01/http.ts</w:t>
      </w:r>
      <w:r>
        <w:rPr>
          <w:sz w:val="20"/>
        </w:rPr>
        <w:t xml:space="preserve">; el modo demo replica el mismo contrato en </w:t>
      </w:r>
      <w:r>
        <w:rPr>
          <w:rFonts w:ascii="Consolas" w:hAnsi="Consolas"/>
          <w:color w:val="4A5A50"/>
          <w:sz w:val="20"/>
        </w:rPr>
        <w:t>src/po01/mock.ts</w:t>
      </w:r>
      <w:r>
        <w:rPr>
          <w:sz w:val="20"/>
        </w:rPr>
        <w:t>.</w:t>
      </w:r>
    </w:p>
    <w:p>
      <w:pPr>
        <w:pStyle w:val="ListBullet"/>
        <w:spacing w:after="40"/>
        <w:ind w:left="340" w:hanging="170"/>
      </w:pPr>
      <w:r>
        <w:rPr>
          <w:rFonts w:ascii="Consolas" w:hAnsi="Consolas"/>
          <w:color w:val="4A5A50"/>
          <w:sz w:val="20"/>
        </w:rPr>
        <w:t>GET /recepciones</w:t>
      </w:r>
      <w:r>
        <w:rPr>
          <w:sz w:val="20"/>
        </w:rPr>
        <w:t xml:space="preserve"> devuelve </w:t>
      </w:r>
      <w:r>
        <w:rPr>
          <w:rFonts w:ascii="Consolas" w:hAnsi="Consolas"/>
          <w:color w:val="4A5A50"/>
          <w:sz w:val="20"/>
        </w:rPr>
        <w:t>registradoPor: null</w:t>
      </w:r>
      <w:r>
        <w:rPr>
          <w:sz w:val="20"/>
        </w:rPr>
        <w:t xml:space="preserve"> porque el esquema de la Tarea 9 aún no expone </w:t>
      </w:r>
      <w:r>
        <w:rPr>
          <w:rFonts w:ascii="Consolas" w:hAnsi="Consolas"/>
          <w:color w:val="4A5A50"/>
          <w:sz w:val="20"/>
        </w:rPr>
        <w:t>recepcion.id_registra</w:t>
      </w:r>
      <w:r>
        <w:rPr>
          <w:sz w:val="20"/>
        </w:rPr>
        <w:t xml:space="preserve">. La interfaz oculta la columna cuando todos los registros vienen vacíos y usa </w:t>
      </w:r>
      <w:r>
        <w:rPr>
          <w:rFonts w:ascii="Consolas" w:hAnsi="Consolas"/>
          <w:color w:val="4A5A50"/>
          <w:sz w:val="20"/>
        </w:rPr>
        <w:t>autorizadoPor</w:t>
      </w:r>
      <w:r>
        <w:rPr>
          <w:sz w:val="20"/>
        </w:rPr>
        <w:t xml:space="preserve"> para mostrar quién decidió.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kardex se muestra en orden cronológico ascendente, con el último movimiento al final.</w:t>
      </w:r>
    </w:p>
    <w:p>
      <w:pPr>
        <w:pStyle w:val="Heading2"/>
      </w:pPr>
      <w:r>
        <w:rPr>
          <w:sz w:val="26"/>
        </w:rPr>
        <w:t>Estructura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24"/>
      </w:tblGrid>
      <w:tr>
        <w:tc>
          <w:tcPr>
            <w:tcW w:type="dxa" w:w="9298"/>
            <w:shd w:val="clear" w:color="auto" w:fill="F3F1E8"/>
            <w:tcMar>
              <w:top w:w="120" w:type="dxa"/>
              <w:start w:w="16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src/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components/       Marca, layout, tablas, modales, badges y estados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pages/            Login y página de acceso restringido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po01/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api.ts          Selección entre API real y modo demo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http.ts         Cliente HTTP con JWT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mock.ts         Implementación localStorage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RecepcionPage.tsx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KardexPage.tsx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permissions.ts  Reglas de acceso por rol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  types.ts        Contrato TypeScript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lib/format.ts     Fechas, kilogramos, usuarios y CSV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auth/             Sesión y rutas protegidas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styles.css        Sistema visual responsive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>docs/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CONTRATO_API.md   Contrato resumido de integración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34443A"/>
                <w:sz w:val="16"/>
              </w:rPr>
              <w:t xml:space="preserve">  PANTALLAS.md      Guía de las tres pantallas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Scripts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3C4"/>
          <w:left w:val="single" w:sz="4" w:space="0" w:color="D8D3C4"/>
          <w:bottom w:val="single" w:sz="4" w:space="0" w:color="D8D3C4"/>
          <w:right w:val="single" w:sz="4" w:space="0" w:color="D8D3C4"/>
          <w:insideH w:val="single" w:sz="4" w:space="0" w:color="D8D3C4"/>
          <w:insideV w:val="single" w:sz="4" w:space="0" w:color="D8D3C4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64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Comando</w:t>
            </w:r>
          </w:p>
        </w:tc>
        <w:tc>
          <w:tcPr>
            <w:tcW w:type="dxa" w:w="4649"/>
            <w:shd w:val="clear" w:color="auto" w:fill="123B2B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npm run dev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Servidor de desarrollo con API real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npm run build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TypeScript y build de producción con PWA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npm run preview</w:t>
            </w:r>
          </w:p>
        </w:tc>
        <w:tc>
          <w:tcPr>
            <w:tcW w:type="dxa" w:w="4649"/>
            <w:shd w:val="clear" w:color="auto" w:fill="FFFF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Sirve el build de producción en modo demo</w:t>
            </w:r>
          </w:p>
        </w:tc>
      </w:tr>
      <w:tr>
        <w:trPr>
          <w:cantSplit w:val="true"/>
        </w:trPr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4A5A50"/>
                <w:sz w:val="16"/>
              </w:rPr>
              <w:t>npm test</w:t>
            </w:r>
          </w:p>
        </w:tc>
        <w:tc>
          <w:tcPr>
            <w:tcW w:type="dxa" w:w="4649"/>
            <w:shd w:val="clear" w:color="auto" w:fill="FBFAF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Ejecuta las pruebas con Vitest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sz w:val="26"/>
        </w:rPr>
        <w:t>Verificación</w:t>
      </w:r>
    </w:p>
    <w:p>
      <w:pPr>
        <w:pStyle w:val="ListBullet"/>
        <w:spacing w:after="40"/>
        <w:ind w:left="340" w:hanging="170"/>
      </w:pPr>
      <w:r>
        <w:rPr>
          <w:rFonts w:ascii="Consolas" w:hAnsi="Consolas"/>
          <w:color w:val="4A5A50"/>
          <w:sz w:val="20"/>
        </w:rPr>
        <w:t>npm run build</w:t>
      </w:r>
      <w:r>
        <w:rPr>
          <w:sz w:val="20"/>
        </w:rPr>
        <w:t xml:space="preserve"> compila sin errores de TypeScript.</w:t>
      </w:r>
    </w:p>
    <w:p>
      <w:pPr>
        <w:pStyle w:val="ListBullet"/>
        <w:spacing w:after="40"/>
        <w:ind w:left="340" w:hanging="170"/>
      </w:pPr>
      <w:r>
        <w:rPr>
          <w:rFonts w:ascii="Consolas" w:hAnsi="Consolas"/>
          <w:color w:val="4A5A50"/>
          <w:sz w:val="20"/>
        </w:rPr>
        <w:t>npm test</w:t>
      </w:r>
      <w:r>
        <w:rPr>
          <w:sz w:val="20"/>
        </w:rPr>
        <w:t xml:space="preserve"> ejecuta </w:t>
      </w:r>
      <w:r>
        <w:rPr>
          <w:b/>
          <w:color w:val="123B2B"/>
          <w:sz w:val="20"/>
        </w:rPr>
        <w:t>17 pruebas aprobadas</w:t>
      </w:r>
      <w:r>
        <w:rPr>
          <w:sz w:val="20"/>
        </w:rPr>
        <w:t>: reglas de humedad, permisos, peso neto, merma, kardex, stock y flujos heredados del backend.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flujo E2E se ejecutó con Playwright contra el backend local y PostgreSQL: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inicio de sesión como </w:t>
      </w:r>
      <w:r>
        <w:rPr>
          <w:rFonts w:ascii="Consolas" w:hAnsi="Consolas"/>
          <w:color w:val="4A5A50"/>
          <w:sz w:val="20"/>
        </w:rPr>
        <w:t>jefe_demo</w:t>
      </w:r>
      <w:r>
        <w:rPr>
          <w:sz w:val="20"/>
        </w:rPr>
        <w:t>;</w:t>
      </w:r>
    </w:p>
    <w:p>
      <w:pPr>
        <w:pStyle w:val="ListBullet"/>
        <w:spacing w:after="40"/>
        <w:ind w:left="340" w:hanging="170"/>
      </w:pPr>
      <w:r>
        <w:rPr>
          <w:sz w:val="20"/>
        </w:rPr>
        <w:t>registro de una recepción con 14.7% de humedad, que quedó pendiente;</w:t>
      </w:r>
    </w:p>
    <w:p>
      <w:pPr>
        <w:pStyle w:val="ListBullet"/>
        <w:spacing w:after="40"/>
        <w:ind w:left="340" w:hanging="170"/>
      </w:pPr>
      <w:r>
        <w:rPr>
          <w:sz w:val="20"/>
        </w:rPr>
        <w:t>aceptación de una recepción pendiente desde el modal de decisión;</w:t>
      </w:r>
    </w:p>
    <w:p>
      <w:pPr>
        <w:pStyle w:val="ListBullet"/>
        <w:spacing w:after="40"/>
        <w:ind w:left="340" w:hanging="170"/>
      </w:pPr>
      <w:r>
        <w:rPr>
          <w:sz w:val="20"/>
        </w:rPr>
        <w:t>verificación de la entrada y del saldo en el kardex.</w:t>
      </w:r>
    </w:p>
    <w:p>
      <w:pPr>
        <w:pStyle w:val="ListBullet"/>
        <w:spacing w:after="40"/>
        <w:ind w:left="340" w:hanging="170"/>
      </w:pPr>
      <w:r>
        <w:rPr>
          <w:sz w:val="20"/>
        </w:rPr>
        <w:t>La interfaz se revisó en 1440 px, 820 px y 390 px. Las tablas se adaptan sin desbordamiento horizontal de la página.</w:t>
      </w:r>
    </w:p>
    <w:p>
      <w:pPr>
        <w:pStyle w:val="ListBullet"/>
        <w:spacing w:after="40"/>
        <w:ind w:left="340" w:hanging="170"/>
      </w:pPr>
      <w:r>
        <w:rPr>
          <w:sz w:val="20"/>
        </w:rPr>
        <w:t xml:space="preserve">Las capturas finales están en </w:t>
      </w:r>
      <w:r>
        <w:rPr>
          <w:rFonts w:ascii="Consolas" w:hAnsi="Consolas"/>
          <w:color w:val="4A5A50"/>
          <w:sz w:val="20"/>
        </w:rPr>
        <w:t>docs/capturas/</w:t>
      </w:r>
      <w:r>
        <w:rPr>
          <w:sz w:val="20"/>
        </w:rPr>
        <w:t>.</w:t>
      </w:r>
    </w:p>
    <w:p>
      <w:pPr>
        <w:pStyle w:val="Heading2"/>
      </w:pPr>
      <w:r>
        <w:rPr>
          <w:sz w:val="26"/>
        </w:rPr>
        <w:t>Limitaciones</w:t>
      </w:r>
    </w:p>
    <w:p>
      <w:pPr>
        <w:pStyle w:val="ListBullet"/>
        <w:spacing w:after="40"/>
        <w:ind w:left="340" w:hanging="170"/>
      </w:pPr>
      <w:r>
        <w:rPr>
          <w:sz w:val="20"/>
        </w:rPr>
        <w:t>No hay despliegue público; la integración se validó en el entorno local.</w:t>
      </w:r>
    </w:p>
    <w:p>
      <w:pPr>
        <w:pStyle w:val="ListBullet"/>
        <w:spacing w:after="40"/>
        <w:ind w:left="340" w:hanging="170"/>
      </w:pPr>
      <w:r>
        <w:rPr>
          <w:rFonts w:ascii="Consolas" w:hAnsi="Consolas"/>
          <w:color w:val="4A5A50"/>
          <w:sz w:val="20"/>
        </w:rPr>
        <w:t>registradoPor</w:t>
      </w:r>
      <w:r>
        <w:rPr>
          <w:sz w:val="20"/>
        </w:rPr>
        <w:t xml:space="preserve"> no está disponible en el listado de recepciones por una limitación del esquema de la Tarea 9.</w:t>
      </w:r>
    </w:p>
    <w:p>
      <w:pPr>
        <w:pStyle w:val="ListBullet"/>
        <w:spacing w:after="40"/>
        <w:ind w:left="340" w:hanging="170"/>
      </w:pPr>
      <w:r>
        <w:rPr>
          <w:sz w:val="20"/>
        </w:rPr>
        <w:t>El modo demo persiste solo en el navegador actual y no reemplaza la validación del backend.</w:t>
      </w:r>
    </w:p>
    <w:p>
      <w:pPr>
        <w:pStyle w:val="ListBullet"/>
        <w:spacing w:after="40"/>
        <w:ind w:left="340" w:hanging="170"/>
      </w:pPr>
      <w:r>
        <w:rPr>
          <w:sz w:val="20"/>
        </w:rPr>
        <w:t>Los datos de proveedores, usuarios y recepciones son ficticios.</w:t>
      </w:r>
    </w:p>
    <w:p>
      <w:pPr>
        <w:pStyle w:val="Heading2"/>
      </w:pPr>
      <w:r>
        <w:rPr>
          <w:sz w:val="26"/>
        </w:rPr>
        <w:t>Documentación</w:t>
      </w:r>
    </w:p>
    <w:p>
      <w:pPr>
        <w:pStyle w:val="ListBullet"/>
        <w:spacing w:after="40"/>
        <w:ind w:left="340" w:hanging="170"/>
      </w:pPr>
      <w:r>
        <w:rPr>
          <w:rFonts w:ascii="Consolas" w:hAnsi="Consolas"/>
          <w:color w:val="4A5A50"/>
          <w:sz w:val="20"/>
        </w:rPr>
        <w:t>Documento Pantallas.docx</w:t>
      </w:r>
      <w:r>
        <w:rPr>
          <w:sz w:val="20"/>
        </w:rPr>
        <w:t>: documento de entrega con capturas y guía funcional.</w:t>
      </w:r>
    </w:p>
    <w:p>
      <w:pPr>
        <w:pStyle w:val="ListBullet"/>
        <w:spacing w:after="40"/>
        <w:ind w:left="340" w:hanging="170"/>
      </w:pPr>
      <w:r>
        <w:rPr>
          <w:rFonts w:ascii="Consolas" w:hAnsi="Consolas"/>
          <w:color w:val="4A5A50"/>
          <w:sz w:val="20"/>
        </w:rPr>
        <w:t>docs/CONTRATO_API.md</w:t>
      </w:r>
      <w:r>
        <w:rPr>
          <w:sz w:val="20"/>
        </w:rPr>
        <w:t>: contrato resumido de la API consumida.</w:t>
      </w:r>
    </w:p>
    <w:p>
      <w:pPr>
        <w:pStyle w:val="ListBullet"/>
        <w:spacing w:after="40"/>
        <w:ind w:left="340" w:hanging="170"/>
      </w:pPr>
      <w:r>
        <w:rPr>
          <w:rFonts w:ascii="Consolas" w:hAnsi="Consolas"/>
          <w:color w:val="4A5A50"/>
          <w:sz w:val="20"/>
        </w:rPr>
        <w:t>docs/PANTALLAS.md</w:t>
      </w:r>
      <w:r>
        <w:rPr>
          <w:sz w:val="20"/>
        </w:rPr>
        <w:t>: recorrido por las tres pantallas.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pBdr>
        <w:top w:val="single" w:sz="4" w:space="4" w:color="D8D3C4"/>
      </w:pBdr>
    </w:pPr>
    <w:r>
      <w:rPr>
        <w:color w:val="667269"/>
        <w:sz w:val="15"/>
      </w:rPr>
      <w:t>Documentación de la entrega</w:t>
    </w:r>
    <w:r>
      <w:tab/>
    </w:r>
    <w:r>
      <w:rPr>
        <w:color w:val="667269"/>
        <w:sz w:val="15"/>
      </w:rPr>
      <w:t xml:space="preserve">Página </w:t>
    </w:r>
    <w:fldSimple w:instr="PAGE">
      <w:r>
        <w:rPr>
          <w:sz w:val="16"/>
          <w:color w:val="667269"/>
        </w:rPr>
        <w:t>1</w:t>
      </w:r>
    </w:fldSimple>
    <w:r>
      <w:rPr>
        <w:color w:val="667269"/>
        <w:sz w:val="15"/>
      </w:rPr>
      <w:t xml:space="preserve"> de </w:t>
    </w:r>
    <w:fldSimple w:instr="NUMPAGES">
      <w:r>
        <w:rPr>
          <w:sz w:val="16"/>
          <w:color w:val="667269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  <w:pBdr>
        <w:bottom w:val="single" w:sz="4" w:space="4" w:color="D8D3C4"/>
      </w:pBdr>
    </w:pPr>
    <w:r>
      <w:rPr>
        <w:color w:val="667269"/>
        <w:sz w:val="15"/>
      </w:rPr>
      <w:t>Moliselva · Recepción de maíz y kardex</w:t>
    </w:r>
    <w:r>
      <w:tab/>
    </w:r>
    <w:r>
      <w:rPr>
        <w:color w:val="667269"/>
        <w:sz w:val="15"/>
      </w:rPr>
      <w:t>README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26332B"/>
      <w:sz w:val="20"/>
      <w:lang w:val="es-P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23B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123B2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B9831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Moliselva · Recepción de maíz y kardex</dc:title>
  <dc:subject>Moliselva · Tarea 11</dc:subject>
  <dc:creator>Elías · Perfil de Egreso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