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B98314"/>
          <w:sz w:val="15"/>
        </w:rPr>
        <w:t>MOLISELVA · TAREA 11</w:t>
      </w:r>
    </w:p>
    <w:p>
      <w:pPr>
        <w:spacing w:after="40"/>
      </w:pPr>
      <w:r>
        <w:rPr>
          <w:rFonts w:ascii="Georgia" w:hAnsi="Georgia"/>
          <w:color w:val="123B2B"/>
          <w:sz w:val="50"/>
        </w:rPr>
        <w:t>Guía de pantallas · Moliselva</w:t>
      </w:r>
    </w:p>
    <w:p>
      <w:pPr>
        <w:spacing w:after="160"/>
      </w:pPr>
      <w:r>
        <w:rPr>
          <w:color w:val="667269"/>
          <w:sz w:val="21"/>
        </w:rPr>
        <w:t>Recorrido funcional del frontend · Tarea 11</w:t>
      </w:r>
    </w:p>
    <w:p>
      <w:pPr>
        <w:spacing w:after="240"/>
        <w:pBdr>
          <w:bottom w:val="single" w:sz="10" w:space="4" w:color="B98314"/>
        </w:pBdr>
      </w:pPr>
    </w:p>
    <w:p>
      <w:r>
        <w:rPr>
          <w:sz w:val="20"/>
        </w:rPr>
        <w:t>Documento de apoyo para la revisión del frontend de la Tarea 11. Las capturas corresponden a la aplicación conectada al backend local y a la base de datos de demostración.</w:t>
      </w:r>
    </w:p>
    <w:p>
      <w:pPr>
        <w:pStyle w:val="Heading2"/>
      </w:pPr>
      <w:r>
        <w:rPr>
          <w:sz w:val="26"/>
        </w:rPr>
        <w:t>1. Objetivo</w:t>
      </w:r>
    </w:p>
    <w:p>
      <w:r>
        <w:rPr>
          <w:sz w:val="20"/>
        </w:rPr>
        <w:t xml:space="preserve">Documentar el recorrido operativo de </w:t>
      </w:r>
      <w:r>
        <w:rPr>
          <w:b/>
          <w:color w:val="123B2B"/>
          <w:sz w:val="20"/>
        </w:rPr>
        <w:t>PO-01 Recepción y acondicionamiento de maíz</w:t>
      </w:r>
      <w:r>
        <w:rPr>
          <w:sz w:val="20"/>
        </w:rPr>
        <w:t>: acceso por roles, registro y decisión de recepciones, y consulta del kardex. La interfaz se limita a tres pantallas para que el flujo pueda revisarse de punta a punta.</w:t>
      </w:r>
    </w:p>
    <w:p>
      <w:pPr>
        <w:pStyle w:val="Heading2"/>
      </w:pPr>
      <w:r>
        <w:rPr>
          <w:sz w:val="26"/>
        </w:rPr>
        <w:t>2. Mapa de navegación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Acceso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Recepción de maíz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Registro de carga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Recepciones del día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Decisión de una recepción pendiente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Kardex de maíz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Stock y último movimiento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Libro de movimientos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Exportación CSV</w:t>
            </w:r>
          </w:p>
        </w:tc>
      </w:tr>
    </w:tbl>
    <w:p>
      <w:pPr>
        <w:spacing w:after="40"/>
      </w:pPr>
    </w:p>
    <w:p>
      <w:r>
        <w:rPr>
          <w:sz w:val="20"/>
        </w:rPr>
        <w:t>Todas las rutas internas requieren sesión. El operario y el jefe de planta ingresan a Recepción; el administrador y la contadora ingresan a Kardex. Si un rol no puede ejecutar una acción, el control no se muestra y el backend rechaza la operación.</w:t>
      </w:r>
    </w:p>
    <w:p>
      <w:pPr>
        <w:pStyle w:val="Heading2"/>
      </w:pPr>
      <w:r>
        <w:rPr>
          <w:sz w:val="26"/>
        </w:rPr>
        <w:t>3. Pantallas</w:t>
      </w:r>
    </w:p>
    <w:p>
      <w:pPr>
        <w:pStyle w:val="Heading3"/>
      </w:pPr>
      <w:r>
        <w:rPr>
          <w:sz w:val="21"/>
        </w:rPr>
        <w:t>3.1 Acceso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269"/>
          <w:sz w:val="16"/>
        </w:rPr>
        <w:t>Acceso</w:t>
      </w:r>
    </w:p>
    <w:p>
      <w:pPr>
        <w:pStyle w:val="ListBullet"/>
        <w:spacing w:after="40"/>
        <w:ind w:left="340" w:hanging="170"/>
      </w:pPr>
      <w:r>
        <w:rPr>
          <w:sz w:val="20"/>
        </w:rPr>
        <w:t>Marca Moliselva y contexto de la planta de Tarapoto.</w:t>
      </w:r>
    </w:p>
    <w:p>
      <w:pPr>
        <w:pStyle w:val="ListBullet"/>
        <w:spacing w:after="40"/>
        <w:ind w:left="340" w:hanging="170"/>
      </w:pPr>
      <w:r>
        <w:rPr>
          <w:sz w:val="20"/>
        </w:rPr>
        <w:t>Formulario de usuario y contraseña, sin tarjetas de cuentas demo.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El acceso queda asociado al usuario y la sesión se guarda en </w:t>
      </w:r>
      <w:r>
        <w:rPr>
          <w:rFonts w:ascii="Consolas" w:hAnsi="Consolas"/>
          <w:color w:val="4A5A50"/>
          <w:sz w:val="20"/>
        </w:rPr>
        <w:t>sessionStorage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>Los errores de credenciales se informan dentro del formulario.</w:t>
      </w:r>
    </w:p>
    <w:p>
      <w:pPr>
        <w:pStyle w:val="ListBullet"/>
        <w:spacing w:after="40"/>
        <w:ind w:left="340" w:hanging="170"/>
      </w:pPr>
      <w:r>
        <w:rPr>
          <w:sz w:val="20"/>
        </w:rPr>
        <w:t>La fotografía de campo es de Tomascastelazo (Wikimedia Commons, CC BY-SA 4.0).</w:t>
      </w:r>
    </w:p>
    <w:p>
      <w:pPr>
        <w:pStyle w:val="Heading3"/>
      </w:pPr>
      <w:r>
        <w:rPr>
          <w:sz w:val="21"/>
        </w:rPr>
        <w:t>3.2 Recepción de maíz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cep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269"/>
          <w:sz w:val="16"/>
        </w:rPr>
        <w:t>Recepción</w:t>
      </w:r>
    </w:p>
    <w:p>
      <w:pPr>
        <w:pStyle w:val="ListBullet"/>
        <w:spacing w:after="40"/>
        <w:ind w:left="340" w:hanging="170"/>
      </w:pPr>
      <w:r>
        <w:rPr>
          <w:sz w:val="20"/>
        </w:rPr>
        <w:t>Resume recepciones del día, pendientes de decisión e ingreso acumulado al kardex.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formulario separa procedencia y pesaje, control de calidad y confirmación.</w:t>
      </w:r>
    </w:p>
    <w:p>
      <w:pPr>
        <w:pStyle w:val="ListBullet"/>
        <w:spacing w:after="40"/>
        <w:ind w:left="340" w:hanging="170"/>
      </w:pPr>
      <w:r>
        <w:rPr>
          <w:sz w:val="20"/>
        </w:rPr>
        <w:t>Calcula peso neto como peso bruto menos tara y peso de sacos.</w:t>
      </w:r>
    </w:p>
    <w:p>
      <w:pPr>
        <w:pStyle w:val="ListBullet"/>
        <w:spacing w:after="40"/>
        <w:ind w:left="340" w:hanging="170"/>
      </w:pPr>
      <w:r>
        <w:rPr>
          <w:sz w:val="20"/>
        </w:rPr>
        <w:t>Calcula la entrada al kardex como peso neto menos merma de limpieza.</w:t>
      </w:r>
    </w:p>
    <w:p>
      <w:pPr>
        <w:pStyle w:val="ListBullet"/>
        <w:spacing w:after="40"/>
        <w:ind w:left="340" w:hanging="170"/>
      </w:pPr>
      <w:r>
        <w:rPr>
          <w:sz w:val="20"/>
        </w:rPr>
        <w:t>La lectura de humedad se acompaña de una escala visual y del estado esperado.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Humedad </w:t>
      </w:r>
      <w:r>
        <w:rPr>
          <w:rFonts w:ascii="Consolas" w:hAnsi="Consolas"/>
          <w:color w:val="4A5A50"/>
          <w:sz w:val="20"/>
        </w:rPr>
        <w:t>&lt;= 14.5%</w:t>
      </w:r>
      <w:r>
        <w:rPr>
          <w:sz w:val="20"/>
        </w:rPr>
        <w:t>: aceptación automática.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Humedad </w:t>
      </w:r>
      <w:r>
        <w:rPr>
          <w:rFonts w:ascii="Consolas" w:hAnsi="Consolas"/>
          <w:color w:val="4A5A50"/>
          <w:sz w:val="20"/>
        </w:rPr>
        <w:t>&gt; 14.5%</w:t>
      </w:r>
      <w:r>
        <w:rPr>
          <w:sz w:val="20"/>
        </w:rPr>
        <w:t xml:space="preserve"> y </w:t>
      </w:r>
      <w:r>
        <w:rPr>
          <w:rFonts w:ascii="Consolas" w:hAnsi="Consolas"/>
          <w:color w:val="4A5A50"/>
          <w:sz w:val="20"/>
        </w:rPr>
        <w:t>&lt;= 15%</w:t>
      </w:r>
      <w:r>
        <w:rPr>
          <w:sz w:val="20"/>
        </w:rPr>
        <w:t>: queda pendiente de decisión del jefe de planta.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Humedad </w:t>
      </w:r>
      <w:r>
        <w:rPr>
          <w:rFonts w:ascii="Consolas" w:hAnsi="Consolas"/>
          <w:color w:val="4A5A50"/>
          <w:sz w:val="20"/>
        </w:rPr>
        <w:t>&gt; 15%</w:t>
      </w:r>
      <w:r>
        <w:rPr>
          <w:sz w:val="20"/>
        </w:rPr>
        <w:t>: rechazo, sin entrada al kardex.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botón de registro solo aparece para operario y jefe de planta.</w:t>
      </w:r>
    </w:p>
    <w:p>
      <w:pPr>
        <w:pStyle w:val="Heading3"/>
      </w:pPr>
      <w:r>
        <w:rPr>
          <w:sz w:val="21"/>
        </w:rPr>
        <w:t>3.3 Recepciones del día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ep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269"/>
          <w:sz w:val="16"/>
        </w:rPr>
        <w:t>Recepciones del día</w:t>
      </w:r>
    </w:p>
    <w:p>
      <w:pPr>
        <w:pStyle w:val="ListBullet"/>
        <w:spacing w:after="40"/>
        <w:ind w:left="340" w:hanging="170"/>
      </w:pPr>
      <w:r>
        <w:rPr>
          <w:sz w:val="20"/>
        </w:rPr>
        <w:t>Bandeja con hora, proveedor, peso neto, humedad, merma, estado y decisión.</w:t>
      </w:r>
    </w:p>
    <w:p>
      <w:pPr>
        <w:pStyle w:val="ListBullet"/>
        <w:spacing w:after="40"/>
        <w:ind w:left="340" w:hanging="170"/>
      </w:pPr>
      <w:r>
        <w:rPr>
          <w:sz w:val="20"/>
        </w:rPr>
        <w:t>Filtros por estado y contador de registros.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La columna de responsable de registro se oculta si la API devuelve </w:t>
      </w:r>
      <w:r>
        <w:rPr>
          <w:rFonts w:ascii="Consolas" w:hAnsi="Consolas"/>
          <w:color w:val="4A5A50"/>
          <w:sz w:val="20"/>
        </w:rPr>
        <w:t>registradoPor: null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El jefe de planta ve el botón </w:t>
      </w:r>
      <w:r>
        <w:rPr>
          <w:rFonts w:ascii="Consolas" w:hAnsi="Consolas"/>
          <w:color w:val="4A5A50"/>
          <w:sz w:val="20"/>
        </w:rPr>
        <w:t>Decidir</w:t>
      </w:r>
      <w:r>
        <w:rPr>
          <w:sz w:val="20"/>
        </w:rPr>
        <w:t xml:space="preserve"> en las recepciones pendientes.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modal de decisión exige aceptar o rechazar y registrar un motivo.</w:t>
      </w:r>
    </w:p>
    <w:p>
      <w:pPr>
        <w:pStyle w:val="ListBullet"/>
        <w:spacing w:after="40"/>
        <w:ind w:left="340" w:hanging="170"/>
      </w:pPr>
      <w:r>
        <w:rPr>
          <w:sz w:val="20"/>
        </w:rPr>
        <w:t>Una recepción aceptada genera una entrada al kardex; una rechazada no modifica el stock.</w:t>
      </w:r>
    </w:p>
    <w:p>
      <w:pPr>
        <w:pStyle w:val="Heading3"/>
      </w:pPr>
      <w:r>
        <w:rPr>
          <w:sz w:val="21"/>
        </w:rPr>
        <w:t>3.4 Kardex de maíz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ard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269"/>
          <w:sz w:val="16"/>
        </w:rPr>
        <w:t>Kardex</w:t>
      </w:r>
    </w:p>
    <w:p>
      <w:pPr>
        <w:pStyle w:val="ListBullet"/>
        <w:spacing w:after="40"/>
        <w:ind w:left="340" w:hanging="170"/>
      </w:pPr>
      <w:r>
        <w:rPr>
          <w:sz w:val="20"/>
        </w:rPr>
        <w:t>Stock actual del maíz en planta.</w:t>
      </w:r>
    </w:p>
    <w:p>
      <w:pPr>
        <w:pStyle w:val="ListBullet"/>
        <w:spacing w:after="40"/>
        <w:ind w:left="340" w:hanging="170"/>
      </w:pPr>
      <w:r>
        <w:rPr>
          <w:sz w:val="20"/>
        </w:rPr>
        <w:t>Cantidad de movimientos del libro.</w:t>
      </w:r>
    </w:p>
    <w:p>
      <w:pPr>
        <w:pStyle w:val="ListBullet"/>
        <w:spacing w:after="40"/>
        <w:ind w:left="340" w:hanging="170"/>
      </w:pPr>
      <w:r>
        <w:rPr>
          <w:sz w:val="20"/>
        </w:rPr>
        <w:t>Último movimiento con cantidad y fecha.</w:t>
      </w:r>
    </w:p>
    <w:p>
      <w:pPr>
        <w:pStyle w:val="ListBullet"/>
        <w:spacing w:after="40"/>
        <w:ind w:left="340" w:hanging="170"/>
      </w:pPr>
      <w:r>
        <w:rPr>
          <w:sz w:val="20"/>
        </w:rPr>
        <w:t>Libro cronológico con fecha, tipo, documento de origen, cantidad, saldo y usuario.</w:t>
      </w:r>
    </w:p>
    <w:p>
      <w:pPr>
        <w:pStyle w:val="ListBullet"/>
        <w:spacing w:after="40"/>
        <w:ind w:left="340" w:hanging="170"/>
      </w:pPr>
      <w:r>
        <w:rPr>
          <w:sz w:val="20"/>
        </w:rPr>
        <w:t>Las cantidades se muestran con signo y el saldo se calcula de forma acumulada.</w:t>
      </w:r>
    </w:p>
    <w:p>
      <w:pPr>
        <w:pStyle w:val="ListBullet"/>
        <w:spacing w:after="40"/>
        <w:ind w:left="340" w:hanging="170"/>
      </w:pPr>
      <w:r>
        <w:rPr>
          <w:sz w:val="20"/>
        </w:rPr>
        <w:t>Exportación CSV para jefe de planta, contadora y administrador.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kardex es inmutable; las correcciones se registran como ajustes con motivo.</w:t>
      </w:r>
    </w:p>
    <w:p>
      <w:pPr>
        <w:pStyle w:val="Heading3"/>
      </w:pPr>
      <w:r>
        <w:rPr>
          <w:sz w:val="21"/>
        </w:rPr>
        <w:t>3.5 Adaptación móvil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cepcion_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269"/>
          <w:sz w:val="16"/>
        </w:rPr>
        <w:t>Recepción móvil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ardex_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269"/>
          <w:sz w:val="16"/>
        </w:rPr>
        <w:t>Kardex móvil</w:t>
      </w:r>
    </w:p>
    <w:p>
      <w:pPr>
        <w:pStyle w:val="ListBullet"/>
        <w:spacing w:after="40"/>
        <w:ind w:left="340" w:hanging="170"/>
      </w:pPr>
      <w:r>
        <w:rPr>
          <w:sz w:val="20"/>
        </w:rPr>
        <w:t>La navegación superior se convierte en un menú desplegable.</w:t>
      </w:r>
    </w:p>
    <w:p>
      <w:pPr>
        <w:pStyle w:val="ListBullet"/>
        <w:spacing w:after="40"/>
        <w:ind w:left="340" w:hanging="170"/>
      </w:pPr>
      <w:r>
        <w:rPr>
          <w:sz w:val="20"/>
        </w:rPr>
        <w:t>Las tarjetas de resumen se apilan y el formulario pasa a una columna.</w:t>
      </w:r>
    </w:p>
    <w:p>
      <w:pPr>
        <w:pStyle w:val="ListBullet"/>
        <w:spacing w:after="40"/>
        <w:ind w:left="340" w:hanging="170"/>
      </w:pPr>
      <w:r>
        <w:rPr>
          <w:sz w:val="20"/>
        </w:rPr>
        <w:t>En las tablas se oculta la columna de fecha y se muestran fecha, peso neto y merma dentro de la celda del proveedor.</w:t>
      </w:r>
    </w:p>
    <w:p>
      <w:pPr>
        <w:pStyle w:val="ListBullet"/>
        <w:spacing w:after="40"/>
        <w:ind w:left="340" w:hanging="170"/>
      </w:pPr>
      <w:r>
        <w:rPr>
          <w:sz w:val="20"/>
        </w:rPr>
        <w:t>En el kardex, fecha, origen y usuario se muestran como detalle del movimiento.</w:t>
      </w:r>
    </w:p>
    <w:p>
      <w:pPr>
        <w:pStyle w:val="ListBullet"/>
        <w:spacing w:after="40"/>
        <w:ind w:left="340" w:hanging="170"/>
      </w:pPr>
      <w:r>
        <w:rPr>
          <w:sz w:val="20"/>
        </w:rPr>
        <w:t>La página no presenta desbordamiento horizontal a 390 px.</w:t>
      </w:r>
    </w:p>
    <w:p>
      <w:pPr>
        <w:pStyle w:val="Heading3"/>
      </w:pPr>
      <w:r>
        <w:rPr>
          <w:sz w:val="21"/>
        </w:rPr>
        <w:t>3.6 Vista tablet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37299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epcion_tabl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72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269"/>
          <w:sz w:val="16"/>
        </w:rPr>
        <w:t>Recepción en tablet</w:t>
      </w:r>
    </w:p>
    <w:p>
      <w:pPr>
        <w:pStyle w:val="ListBullet"/>
        <w:spacing w:after="40"/>
        <w:ind w:left="340" w:hanging="170"/>
      </w:pPr>
      <w:r>
        <w:rPr>
          <w:sz w:val="20"/>
        </w:rPr>
        <w:t>A 820 px se mantiene el menú compacto y el formulario ocupa el ancho disponible.</w:t>
      </w:r>
    </w:p>
    <w:p>
      <w:pPr>
        <w:pStyle w:val="ListBullet"/>
        <w:spacing w:after="40"/>
        <w:ind w:left="340" w:hanging="170"/>
      </w:pPr>
      <w:r>
        <w:rPr>
          <w:sz w:val="20"/>
        </w:rPr>
        <w:t>Los indicadores se reorganizan en dos columnas y las tablas conservan todas sus columnas.</w:t>
      </w:r>
    </w:p>
    <w:p>
      <w:pPr>
        <w:pStyle w:val="Heading2"/>
      </w:pPr>
      <w:r>
        <w:rPr>
          <w:sz w:val="26"/>
        </w:rPr>
        <w:t>4. Estados y mensajes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Efecto en stock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ACEPTADA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Humedad conforme o autorización del jefe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Genera entrada al kardex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PENDIENTE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Humedad entre 14.5% y 15%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 modifica el stock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RECHAZADA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Humedad mayor a 15% o decisión negativa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 modifica el stock</w:t>
            </w:r>
          </w:p>
        </w:tc>
      </w:tr>
    </w:tbl>
    <w:p>
      <w:pPr>
        <w:spacing w:after="40"/>
      </w:pPr>
    </w:p>
    <w:p>
      <w:r>
        <w:rPr>
          <w:sz w:val="20"/>
        </w:rPr>
        <w:t>Los estados vacíos, errores de carga y errores de validación se muestran dentro de la pantalla, sin bloquear la navegación.</w:t>
      </w:r>
    </w:p>
    <w:p>
      <w:pPr>
        <w:pStyle w:val="Heading2"/>
      </w:pPr>
      <w:r>
        <w:rPr>
          <w:sz w:val="26"/>
        </w:rPr>
        <w:t>5. Verificación visual</w:t>
      </w:r>
    </w:p>
    <w:p>
      <w:pPr>
        <w:pStyle w:val="ListBullet"/>
        <w:spacing w:after="40"/>
        <w:ind w:left="340" w:hanging="170"/>
      </w:pPr>
      <w:r>
        <w:rPr>
          <w:sz w:val="20"/>
        </w:rPr>
        <w:t>Resolución de escritorio: 1440 × 1000.</w:t>
      </w:r>
    </w:p>
    <w:p>
      <w:pPr>
        <w:pStyle w:val="ListBullet"/>
        <w:spacing w:after="40"/>
        <w:ind w:left="340" w:hanging="170"/>
      </w:pPr>
      <w:r>
        <w:rPr>
          <w:sz w:val="20"/>
        </w:rPr>
        <w:t>Resolución de tablet: 820 × 1180.</w:t>
      </w:r>
    </w:p>
    <w:p>
      <w:pPr>
        <w:pStyle w:val="ListBullet"/>
        <w:spacing w:after="40"/>
        <w:ind w:left="340" w:hanging="170"/>
      </w:pPr>
      <w:r>
        <w:rPr>
          <w:sz w:val="20"/>
        </w:rPr>
        <w:t>Resolución móvil: 390 × 844.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Las capturas se tomaron con el usuario </w:t>
      </w:r>
      <w:r>
        <w:rPr>
          <w:rFonts w:ascii="Consolas" w:hAnsi="Consolas"/>
          <w:color w:val="4A5A50"/>
          <w:sz w:val="20"/>
        </w:rPr>
        <w:t>jefe_demo</w:t>
      </w:r>
      <w:r>
        <w:rPr>
          <w:sz w:val="20"/>
        </w:rPr>
        <w:t xml:space="preserve"> y datos de la base local.</w:t>
      </w:r>
    </w:p>
    <w:p>
      <w:pPr>
        <w:pStyle w:val="ListBullet"/>
        <w:spacing w:after="40"/>
        <w:ind w:left="340" w:hanging="170"/>
      </w:pPr>
      <w:r>
        <w:rPr>
          <w:sz w:val="20"/>
        </w:rPr>
        <w:t>No se registraron errores de consola durante el recorrido.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  <w:pBdr>
        <w:top w:val="single" w:sz="4" w:space="4" w:color="D8D3C4"/>
      </w:pBdr>
    </w:pPr>
    <w:r>
      <w:rPr>
        <w:color w:val="667269"/>
        <w:sz w:val="15"/>
      </w:rPr>
      <w:t>Documentación de la entrega</w:t>
    </w:r>
    <w:r>
      <w:tab/>
    </w:r>
    <w:r>
      <w:rPr>
        <w:color w:val="667269"/>
        <w:sz w:val="15"/>
      </w:rPr>
      <w:t xml:space="preserve">Página </w:t>
    </w:r>
    <w:fldSimple w:instr="PAGE">
      <w:r>
        <w:rPr>
          <w:sz w:val="16"/>
          <w:color w:val="667269"/>
        </w:rPr>
        <w:t>1</w:t>
      </w:r>
    </w:fldSimple>
    <w:r>
      <w:rPr>
        <w:color w:val="667269"/>
        <w:sz w:val="15"/>
      </w:rPr>
      <w:t xml:space="preserve"> de </w:t>
    </w:r>
    <w:fldSimple w:instr="NUMPAGES">
      <w:r>
        <w:rPr>
          <w:sz w:val="16"/>
          <w:color w:val="66726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  <w:pBdr>
        <w:bottom w:val="single" w:sz="4" w:space="4" w:color="D8D3C4"/>
      </w:pBdr>
    </w:pPr>
    <w:r>
      <w:rPr>
        <w:color w:val="667269"/>
        <w:sz w:val="15"/>
      </w:rPr>
      <w:t>Moliselva · Recepción de maíz y kardex</w:t>
    </w:r>
    <w:r>
      <w:tab/>
    </w:r>
    <w:r>
      <w:rPr>
        <w:color w:val="667269"/>
        <w:sz w:val="15"/>
      </w:rPr>
      <w:t>Guía de pantallas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26332B"/>
      <w:sz w:val="20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23B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123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B9831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pantallas · Moliselva</dc:title>
  <dc:subject>Moliselva · Tarea 11</dc:subject>
  <dc:creator>Elías · Perfil de Egreso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