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jc w:val="center"/>
      </w:pPr>
      <w:r>
        <w:drawing>
          <wp:inline distT="0" distB="0" distL="0" distR="0">
            <wp:extent cx="2476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076325"/>
                    </a:xfrm>
                    <a:prstGeom prst="rect">
                      <a:avLst/>
                    </a:prstGeom>
                  </pic:spPr>
                </pic:pic>
              </a:graphicData>
            </a:graphic>
          </wp:inline>
        </w:drawing>
      </w:r>
    </w:p>
    <w:p>
      <w:pPr>
        <w:pBdr>
          <w:top w:val="single" w:color="3E7C8C" w:sz="16" w:space="12"/>
        </w:pBdr>
        <w:spacing w:before="700"/>
        <w:jc w:val="center"/>
      </w:pPr>
    </w:p>
    <w:p>
      <w:pPr>
        <w:spacing w:before="400"/>
        <w:jc w:val="center"/>
      </w:pPr>
      <w:r>
        <w:rPr>
          <w:b/>
          <w:bCs/>
          <w:color w:val="2E3A45"/>
          <w:sz w:val="46"/>
          <w:szCs w:val="46"/>
        </w:rPr>
        <w:t xml:space="preserve">MANUAL DE OPERACIÓN Y MANTENIMIENTO</w:t>
      </w:r>
    </w:p>
    <w:p>
      <w:pPr>
        <w:spacing w:after="100" w:before="160"/>
        <w:jc w:val="center"/>
      </w:pPr>
      <w:r>
        <w:rPr>
          <w:b/>
          <w:bCs/>
          <w:color w:val="3E7C8C"/>
          <w:sz w:val="30"/>
          <w:szCs w:val="30"/>
        </w:rPr>
        <w:t xml:space="preserve">Estación Automática de Atornillado e Inspección</w:t>
      </w:r>
    </w:p>
    <w:p>
      <w:pPr>
        <w:spacing w:after="500"/>
        <w:jc w:val="center"/>
      </w:pPr>
      <w:r>
        <w:rPr>
          <w:i/>
          <w:iCs/>
          <w:color w:val="555555"/>
          <w:sz w:val="22"/>
          <w:szCs w:val="22"/>
        </w:rPr>
        <w:t xml:space="preserve">Serie STTOR — Robot Gantry XYZ con Torque, Feeder y Vacío</w:t>
      </w:r>
    </w:p>
    <w:p>
      <w:pPr>
        <w:spacing w:after="40" w:before="120"/>
        <w:jc w:val="center"/>
      </w:pPr>
      <w:r>
        <w:drawing>
          <wp:inline distT="0" distB="0" distL="0" distR="0">
            <wp:extent cx="3619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038350"/>
                    </a:xfrm>
                    <a:prstGeom prst="rect">
                      <a:avLst/>
                    </a:prstGeom>
                  </pic:spPr>
                </pic:pic>
              </a:graphicData>
            </a:graphic>
          </wp:inline>
        </w:drawing>
      </w:r>
    </w:p>
    <w:p>
      <w:pPr>
        <w:spacing w:before="50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c>
          <w:tcPr>
            <w:tcW w:type="dxa" w:w="3200"/>
            <w:shd w:fill="F2F2F2" w:val="clear"/>
            <w:tcMar>
              <w:top w:type="dxa" w:w="100"/>
              <w:left w:type="dxa" w:w="140"/>
              <w:bottom w:type="dxa" w:w="100"/>
              <w:right w:type="dxa" w:w="140"/>
            </w:tcMar>
            <w:vAlign w:val="center"/>
          </w:tcPr>
          <w:p>
            <w:r>
              <w:rPr>
                <w:b/>
                <w:bCs/>
                <w:sz w:val="20"/>
                <w:szCs w:val="20"/>
              </w:rPr>
              <w:t xml:space="preserve">Modelos cubiertos</w:t>
            </w:r>
          </w:p>
        </w:tc>
        <w:tc>
          <w:tcPr>
            <w:tcW w:type="dxa" w:w="6160"/>
            <w:tcMar>
              <w:top w:type="dxa" w:w="100"/>
              <w:left w:type="dxa" w:w="140"/>
              <w:bottom w:type="dxa" w:w="100"/>
              <w:right w:type="dxa" w:w="140"/>
            </w:tcMar>
            <w:vAlign w:val="center"/>
          </w:tcPr>
          <w:p>
            <w:r>
              <w:rPr>
                <w:sz w:val="20"/>
                <w:szCs w:val="20"/>
              </w:rPr>
              <w:t xml:space="preserve">VSS1H-6050-001, VSS1H-6050-002, VSS1H-6050-003, VSS1H-6050-004, VSS1H-6050-005, VSS1H-6050-006, MS-550-001, MS-550-002</w:t>
            </w:r>
          </w:p>
        </w:tc>
      </w:tr>
      <w:tr>
        <w:tc>
          <w:tcPr>
            <w:tcW w:type="dxa" w:w="3200"/>
            <w:shd w:fill="F2F2F2" w:val="clear"/>
            <w:tcMar>
              <w:top w:type="dxa" w:w="100"/>
              <w:left w:type="dxa" w:w="140"/>
              <w:bottom w:type="dxa" w:w="100"/>
              <w:right w:type="dxa" w:w="140"/>
            </w:tcMar>
            <w:vAlign w:val="center"/>
          </w:tcPr>
          <w:p>
            <w:r>
              <w:rPr>
                <w:b/>
                <w:bCs/>
                <w:sz w:val="20"/>
                <w:szCs w:val="20"/>
              </w:rPr>
              <w:t xml:space="preserve">Fabricante</w:t>
            </w:r>
          </w:p>
        </w:tc>
        <w:tc>
          <w:tcPr>
            <w:tcW w:type="dxa" w:w="6160"/>
            <w:tcMar>
              <w:top w:type="dxa" w:w="100"/>
              <w:left w:type="dxa" w:w="140"/>
              <w:bottom w:type="dxa" w:w="100"/>
              <w:right w:type="dxa" w:w="140"/>
            </w:tcMar>
            <w:vAlign w:val="center"/>
          </w:tcPr>
          <w:p>
            <w:r>
              <w:rPr>
                <w:sz w:val="20"/>
                <w:szCs w:val="20"/>
              </w:rPr>
              <w:t xml:space="preserve">ITO GROUP</w:t>
            </w:r>
          </w:p>
        </w:tc>
      </w:tr>
      <w:tr>
        <w:tc>
          <w:tcPr>
            <w:tcW w:type="dxa" w:w="3200"/>
            <w:shd w:fill="F2F2F2" w:val="clear"/>
            <w:tcMar>
              <w:top w:type="dxa" w:w="100"/>
              <w:left w:type="dxa" w:w="140"/>
              <w:bottom w:type="dxa" w:w="100"/>
              <w:right w:type="dxa" w:w="140"/>
            </w:tcMar>
            <w:vAlign w:val="center"/>
          </w:tcPr>
          <w:p>
            <w:r>
              <w:rPr>
                <w:b/>
                <w:bCs/>
                <w:sz w:val="20"/>
                <w:szCs w:val="20"/>
              </w:rPr>
              <w:t xml:space="preserve">Cliente / Planta</w:t>
            </w:r>
          </w:p>
        </w:tc>
        <w:tc>
          <w:tcPr>
            <w:tcW w:type="dxa" w:w="6160"/>
            <w:tcMar>
              <w:top w:type="dxa" w:w="100"/>
              <w:left w:type="dxa" w:w="140"/>
              <w:bottom w:type="dxa" w:w="100"/>
              <w:right w:type="dxa" w:w="140"/>
            </w:tcMar>
            <w:vAlign w:val="center"/>
          </w:tcPr>
          <w:p>
            <w:r>
              <w:rPr>
                <w:sz w:val="20"/>
                <w:szCs w:val="20"/>
              </w:rPr>
              <w:t xml:space="preserve">Jabil — John Deere Program</w:t>
            </w:r>
          </w:p>
        </w:tc>
      </w:tr>
      <w:tr>
        <w:tc>
          <w:tcPr>
            <w:tcW w:type="dxa" w:w="3200"/>
            <w:shd w:fill="F2F2F2" w:val="clear"/>
            <w:tcMar>
              <w:top w:type="dxa" w:w="100"/>
              <w:left w:type="dxa" w:w="140"/>
              <w:bottom w:type="dxa" w:w="100"/>
              <w:right w:type="dxa" w:w="140"/>
            </w:tcMar>
            <w:vAlign w:val="center"/>
          </w:tcPr>
          <w:p>
            <w:r>
              <w:rPr>
                <w:b/>
                <w:bCs/>
                <w:sz w:val="20"/>
                <w:szCs w:val="20"/>
              </w:rPr>
              <w:t xml:space="preserve">Tipo de equipo</w:t>
            </w:r>
          </w:p>
        </w:tc>
        <w:tc>
          <w:tcPr>
            <w:tcW w:type="dxa" w:w="6160"/>
            <w:tcMar>
              <w:top w:type="dxa" w:w="100"/>
              <w:left w:type="dxa" w:w="140"/>
              <w:bottom w:type="dxa" w:w="100"/>
              <w:right w:type="dxa" w:w="140"/>
            </w:tcMar>
            <w:vAlign w:val="center"/>
          </w:tcPr>
          <w:p>
            <w:r>
              <w:rPr>
                <w:sz w:val="20"/>
                <w:szCs w:val="20"/>
              </w:rPr>
              <w:t xml:space="preserve">Estación automática de atornillado, robot gantry 3 ejes (XYZ)</w:t>
            </w:r>
          </w:p>
        </w:tc>
      </w:tr>
      <w:tr>
        <w:tc>
          <w:tcPr>
            <w:tcW w:type="dxa" w:w="3200"/>
            <w:shd w:fill="F2F2F2" w:val="clear"/>
            <w:tcMar>
              <w:top w:type="dxa" w:w="100"/>
              <w:left w:type="dxa" w:w="140"/>
              <w:bottom w:type="dxa" w:w="100"/>
              <w:right w:type="dxa" w:w="140"/>
            </w:tcMar>
            <w:vAlign w:val="center"/>
          </w:tcPr>
          <w:p>
            <w:r>
              <w:rPr>
                <w:b/>
                <w:bCs/>
                <w:sz w:val="20"/>
                <w:szCs w:val="20"/>
              </w:rPr>
              <w:t xml:space="preserve">No. de documento</w:t>
            </w:r>
          </w:p>
        </w:tc>
        <w:tc>
          <w:tcPr>
            <w:tcW w:type="dxa" w:w="6160"/>
            <w:tcMar>
              <w:top w:type="dxa" w:w="100"/>
              <w:left w:type="dxa" w:w="140"/>
              <w:bottom w:type="dxa" w:w="100"/>
              <w:right w:type="dxa" w:w="140"/>
            </w:tcMar>
            <w:vAlign w:val="center"/>
          </w:tcPr>
          <w:p>
            <w:r>
              <w:rPr>
                <w:sz w:val="20"/>
                <w:szCs w:val="20"/>
              </w:rPr>
              <w:t xml:space="preserve">ITO-STTOR-OM-001</w:t>
            </w:r>
          </w:p>
        </w:tc>
      </w:tr>
      <w:tr>
        <w:tc>
          <w:tcPr>
            <w:tcW w:type="dxa" w:w="3200"/>
            <w:shd w:fill="F2F2F2" w:val="clear"/>
            <w:tcMar>
              <w:top w:type="dxa" w:w="100"/>
              <w:left w:type="dxa" w:w="140"/>
              <w:bottom w:type="dxa" w:w="100"/>
              <w:right w:type="dxa" w:w="140"/>
            </w:tcMar>
            <w:vAlign w:val="center"/>
          </w:tcPr>
          <w:p>
            <w:r>
              <w:rPr>
                <w:b/>
                <w:bCs/>
                <w:sz w:val="20"/>
                <w:szCs w:val="20"/>
              </w:rPr>
              <w:t xml:space="preserve">Revisión</w:t>
            </w:r>
          </w:p>
        </w:tc>
        <w:tc>
          <w:tcPr>
            <w:tcW w:type="dxa" w:w="6160"/>
            <w:tcMar>
              <w:top w:type="dxa" w:w="100"/>
              <w:left w:type="dxa" w:w="140"/>
              <w:bottom w:type="dxa" w:w="100"/>
              <w:right w:type="dxa" w:w="140"/>
            </w:tcMar>
            <w:vAlign w:val="center"/>
          </w:tcPr>
          <w:p>
            <w:r>
              <w:rPr>
                <w:sz w:val="20"/>
                <w:szCs w:val="20"/>
              </w:rPr>
              <w:t xml:space="preserve">Rev. A</w:t>
            </w:r>
          </w:p>
        </w:tc>
      </w:tr>
      <w:tr>
        <w:tc>
          <w:tcPr>
            <w:tcW w:type="dxa" w:w="3200"/>
            <w:shd w:fill="F2F2F2" w:val="clear"/>
            <w:tcMar>
              <w:top w:type="dxa" w:w="100"/>
              <w:left w:type="dxa" w:w="140"/>
              <w:bottom w:type="dxa" w:w="100"/>
              <w:right w:type="dxa" w:w="140"/>
            </w:tcMar>
            <w:vAlign w:val="center"/>
          </w:tcPr>
          <w:p>
            <w:r>
              <w:rPr>
                <w:b/>
                <w:bCs/>
                <w:sz w:val="20"/>
                <w:szCs w:val="20"/>
              </w:rPr>
              <w:t xml:space="preserve">Fecha de emisión</w:t>
            </w:r>
          </w:p>
        </w:tc>
        <w:tc>
          <w:tcPr>
            <w:tcW w:type="dxa" w:w="6160"/>
            <w:tcMar>
              <w:top w:type="dxa" w:w="100"/>
              <w:left w:type="dxa" w:w="140"/>
              <w:bottom w:type="dxa" w:w="100"/>
              <w:right w:type="dxa" w:w="140"/>
            </w:tcMar>
            <w:vAlign w:val="center"/>
          </w:tcPr>
          <w:p>
            <w:r>
              <w:rPr>
                <w:sz w:val="20"/>
                <w:szCs w:val="20"/>
              </w:rPr>
              <w:t xml:space="preserve">2026-09-21</w:t>
            </w:r>
          </w:p>
        </w:tc>
      </w:tr>
    </w:tbl>
    <w:p>
      <w:pPr>
        <w:spacing w:before="900"/>
        <w:jc w:val="center"/>
      </w:pPr>
      <w:r>
        <w:drawing>
          <wp:inline distT="0" distB="0" distL="0" distR="0">
            <wp:extent cx="10477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542925"/>
                    </a:xfrm>
                    <a:prstGeom prst="rect">
                      <a:avLst/>
                    </a:prstGeom>
                  </pic:spPr>
                </pic:pic>
              </a:graphicData>
            </a:graphic>
          </wp:inline>
        </w:drawing>
      </w:r>
    </w:p>
    <w:p>
      <w:pPr>
        <w:spacing w:before="80"/>
        <w:jc w:val="center"/>
      </w:pPr>
      <w:r>
        <w:rPr>
          <w:i/>
          <w:iCs/>
          <w:color w:val="888888"/>
          <w:sz w:val="15"/>
          <w:szCs w:val="15"/>
        </w:rPr>
        <w:t xml:space="preserve">Documento de proveedor — entregado a Jabil como referencia de la máquina</w:t>
      </w:r>
    </w:p>
    <w:p>
      <w:r>
        <w:br w:type="page"/>
      </w:r>
    </w:p>
    <w:p>
      <w:pPr>
        <w:sectPr>
          <w:pgSz w:w="12240" w:h="15840" w:orient="portrait"/>
          <w:pgMar w:top="1000" w:right="1440" w:bottom="1000" w:left="1440" w:header="708" w:footer="708" w:gutter="0"/>
          <w:pgNumType/>
          <w:docGrid w:linePitch="360"/>
        </w:sectPr>
      </w:pPr>
    </w:p>
    <w:p>
      <w:pPr>
        <w:spacing w:after="240"/>
      </w:pPr>
      <w:r>
        <w:rPr>
          <w:b/>
          <w:bCs/>
          <w:color w:val="2E3A45"/>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3E7C8C" w:sz="6" w:space="4"/>
        </w:pBdr>
        <w:spacing w:after="200" w:before="400"/>
      </w:pPr>
      <w:r>
        <w:rPr>
          <w:b/>
          <w:bCs/>
          <w:color w:val="2E3A45"/>
          <w:sz w:val="30"/>
          <w:szCs w:val="30"/>
        </w:rPr>
        <w:t xml:space="preserve">1.  Introducción y Alcance</w:t>
      </w:r>
    </w:p>
    <w:p>
      <w:pPr>
        <w:spacing w:after="160" w:line="300"/>
      </w:pPr>
      <w:r>
        <w:rPr>
          <w:sz w:val="21"/>
          <w:szCs w:val="21"/>
        </w:rPr>
        <w:t xml:space="preserve">Este manual describe la operación, seguridad y mantenimiento básico de las estaciones automáticas de atornillado e inspección de la serie STTOR, fabricadas por ITO GROUP para la línea de producción de Jabil. Aplica a las siguientes estaciones, todas de diseño y funcionamiento equivalente:</w:t>
      </w:r>
    </w:p>
    <w:p>
      <w:pPr>
        <w:pStyle w:val="ListParagraph"/>
        <w:numPr>
          <w:ilvl w:val="0"/>
          <w:numId w:val="2"/>
        </w:numPr>
        <w:spacing w:after="80"/>
      </w:pPr>
      <w:r>
        <w:rPr>
          <w:sz w:val="21"/>
          <w:szCs w:val="21"/>
        </w:rPr>
        <w:t xml:space="preserve">VSS1H-6050-001</w:t>
      </w:r>
    </w:p>
    <w:p>
      <w:pPr>
        <w:pStyle w:val="ListParagraph"/>
        <w:numPr>
          <w:ilvl w:val="0"/>
          <w:numId w:val="2"/>
        </w:numPr>
        <w:spacing w:after="80"/>
      </w:pPr>
      <w:r>
        <w:rPr>
          <w:sz w:val="21"/>
          <w:szCs w:val="21"/>
        </w:rPr>
        <w:t xml:space="preserve">VSS1H-6050-002</w:t>
      </w:r>
    </w:p>
    <w:p>
      <w:pPr>
        <w:pStyle w:val="ListParagraph"/>
        <w:numPr>
          <w:ilvl w:val="0"/>
          <w:numId w:val="2"/>
        </w:numPr>
        <w:spacing w:after="80"/>
      </w:pPr>
      <w:r>
        <w:rPr>
          <w:sz w:val="21"/>
          <w:szCs w:val="21"/>
        </w:rPr>
        <w:t xml:space="preserve">VSS1H-6050-003</w:t>
      </w:r>
    </w:p>
    <w:p>
      <w:pPr>
        <w:pStyle w:val="ListParagraph"/>
        <w:numPr>
          <w:ilvl w:val="0"/>
          <w:numId w:val="2"/>
        </w:numPr>
        <w:spacing w:after="80"/>
      </w:pPr>
      <w:r>
        <w:rPr>
          <w:sz w:val="21"/>
          <w:szCs w:val="21"/>
        </w:rPr>
        <w:t xml:space="preserve">VSS1H-6050-004</w:t>
      </w:r>
    </w:p>
    <w:p>
      <w:pPr>
        <w:pStyle w:val="ListParagraph"/>
        <w:numPr>
          <w:ilvl w:val="0"/>
          <w:numId w:val="2"/>
        </w:numPr>
        <w:spacing w:after="80"/>
      </w:pPr>
      <w:r>
        <w:rPr>
          <w:sz w:val="21"/>
          <w:szCs w:val="21"/>
        </w:rPr>
        <w:t xml:space="preserve">VSS1H-6050-005</w:t>
      </w:r>
    </w:p>
    <w:p>
      <w:pPr>
        <w:pStyle w:val="ListParagraph"/>
        <w:numPr>
          <w:ilvl w:val="0"/>
          <w:numId w:val="2"/>
        </w:numPr>
        <w:spacing w:after="80"/>
      </w:pPr>
      <w:r>
        <w:rPr>
          <w:sz w:val="21"/>
          <w:szCs w:val="21"/>
        </w:rPr>
        <w:t xml:space="preserve">VSS1H-6050-006</w:t>
      </w:r>
    </w:p>
    <w:p>
      <w:pPr>
        <w:pStyle w:val="ListParagraph"/>
        <w:numPr>
          <w:ilvl w:val="0"/>
          <w:numId w:val="2"/>
        </w:numPr>
        <w:spacing w:after="80"/>
      </w:pPr>
      <w:r>
        <w:rPr>
          <w:sz w:val="21"/>
          <w:szCs w:val="21"/>
        </w:rPr>
        <w:t xml:space="preserve">MS-550-001</w:t>
      </w:r>
    </w:p>
    <w:p>
      <w:pPr>
        <w:pStyle w:val="ListParagraph"/>
        <w:numPr>
          <w:ilvl w:val="0"/>
          <w:numId w:val="2"/>
        </w:numPr>
        <w:spacing w:after="80"/>
      </w:pPr>
      <w:r>
        <w:rPr>
          <w:sz w:val="21"/>
          <w:szCs w:val="21"/>
        </w:rPr>
        <w:t xml:space="preserve">MS-550-002</w:t>
      </w:r>
    </w:p>
    <w:p>
      <w:pPr>
        <w:spacing w:after="160" w:line="300"/>
      </w:pPr>
      <w:r>
        <w:rPr>
          <w:sz w:val="21"/>
          <w:szCs w:val="21"/>
        </w:rPr>
        <w:t xml:space="preserve">Estas estaciones automatizan el proceso de atornillado de un ensamble mediante un robot gantry de 3 ejes (X, Y, Z), un cabezal de torque, un sistema de alimentación (feeder) de tornillos y un sistema neumático de vacío para la sujeción del tornillo durante su traslado.</w:t>
      </w:r>
    </w:p>
    <w:p>
      <w:pPr>
        <w:spacing w:after="160" w:line="300"/>
      </w:pPr>
      <w:r>
        <w:rPr>
          <w:sz w:val="21"/>
          <w:szCs w:val="21"/>
        </w:rPr>
        <w:t xml:space="preserve">Este documento debe conservarse en la estación y estar disponible para el personal operativo y de mantenimiento. Para información de seguridad específica de la instalación (MRA/RA), referirse a la documentación de EHS de Jabil correspondiente a estas estaciones.</w:t>
      </w:r>
    </w:p>
    <w:p>
      <w:pPr>
        <w:pStyle w:val="Heading1"/>
        <w:pBdr>
          <w:bottom w:val="single" w:color="3E7C8C" w:sz="6" w:space="4"/>
        </w:pBdr>
        <w:spacing w:after="200" w:before="400"/>
      </w:pPr>
      <w:r>
        <w:rPr>
          <w:b/>
          <w:bCs/>
          <w:color w:val="2E3A45"/>
          <w:sz w:val="30"/>
          <w:szCs w:val="30"/>
        </w:rPr>
        <w:t xml:space="preserve">2.  Especificaciones Técnicas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c>
          <w:tcPr>
            <w:tcW w:type="dxa" w:w="3200"/>
            <w:shd w:fill="F2F2F2" w:val="clear"/>
            <w:tcMar>
              <w:top w:type="dxa" w:w="100"/>
              <w:left w:type="dxa" w:w="140"/>
              <w:bottom w:type="dxa" w:w="100"/>
              <w:right w:type="dxa" w:w="140"/>
            </w:tcMar>
            <w:vAlign w:val="center"/>
          </w:tcPr>
          <w:p>
            <w:r>
              <w:rPr>
                <w:b/>
                <w:bCs/>
                <w:sz w:val="20"/>
                <w:szCs w:val="20"/>
              </w:rPr>
              <w:t xml:space="preserve">Tipo de máquina</w:t>
            </w:r>
          </w:p>
        </w:tc>
        <w:tc>
          <w:tcPr>
            <w:tcW w:type="dxa" w:w="6160"/>
            <w:tcMar>
              <w:top w:type="dxa" w:w="100"/>
              <w:left w:type="dxa" w:w="140"/>
              <w:bottom w:type="dxa" w:w="100"/>
              <w:right w:type="dxa" w:w="140"/>
            </w:tcMar>
            <w:vAlign w:val="center"/>
          </w:tcPr>
          <w:p>
            <w:r>
              <w:rPr>
                <w:sz w:val="20"/>
                <w:szCs w:val="20"/>
              </w:rPr>
              <w:t xml:space="preserve">Estación automática de atornillado con robot gantry XYZ</w:t>
            </w:r>
          </w:p>
        </w:tc>
      </w:tr>
      <w:tr>
        <w:tc>
          <w:tcPr>
            <w:tcW w:type="dxa" w:w="3200"/>
            <w:shd w:fill="F2F2F2" w:val="clear"/>
            <w:tcMar>
              <w:top w:type="dxa" w:w="100"/>
              <w:left w:type="dxa" w:w="140"/>
              <w:bottom w:type="dxa" w:w="100"/>
              <w:right w:type="dxa" w:w="140"/>
            </w:tcMar>
            <w:vAlign w:val="center"/>
          </w:tcPr>
          <w:p>
            <w:r>
              <w:rPr>
                <w:b/>
                <w:bCs/>
                <w:sz w:val="20"/>
                <w:szCs w:val="20"/>
              </w:rPr>
              <w:t xml:space="preserve">Ejes controlados</w:t>
            </w:r>
          </w:p>
        </w:tc>
        <w:tc>
          <w:tcPr>
            <w:tcW w:type="dxa" w:w="6160"/>
            <w:tcMar>
              <w:top w:type="dxa" w:w="100"/>
              <w:left w:type="dxa" w:w="140"/>
              <w:bottom w:type="dxa" w:w="100"/>
              <w:right w:type="dxa" w:w="140"/>
            </w:tcMar>
            <w:vAlign w:val="center"/>
          </w:tcPr>
          <w:p>
            <w:r>
              <w:rPr>
                <w:sz w:val="20"/>
                <w:szCs w:val="20"/>
              </w:rPr>
              <w:t xml:space="preserve">3 ejes del gantry (X, Y, Z) + eje de slider en X independiente (algunas estaciones con eje adicional en el slider) — todos por servomotor</w:t>
            </w:r>
          </w:p>
        </w:tc>
      </w:tr>
      <w:tr>
        <w:tc>
          <w:tcPr>
            <w:tcW w:type="dxa" w:w="3200"/>
            <w:shd w:fill="F2F2F2" w:val="clear"/>
            <w:tcMar>
              <w:top w:type="dxa" w:w="100"/>
              <w:left w:type="dxa" w:w="140"/>
              <w:bottom w:type="dxa" w:w="100"/>
              <w:right w:type="dxa" w:w="140"/>
            </w:tcMar>
            <w:vAlign w:val="center"/>
          </w:tcPr>
          <w:p>
            <w:r>
              <w:rPr>
                <w:b/>
                <w:bCs/>
                <w:sz w:val="20"/>
                <w:szCs w:val="20"/>
              </w:rPr>
              <w:t xml:space="preserve">Sistema de atornillado</w:t>
            </w:r>
          </w:p>
        </w:tc>
        <w:tc>
          <w:tcPr>
            <w:tcW w:type="dxa" w:w="6160"/>
            <w:tcMar>
              <w:top w:type="dxa" w:w="100"/>
              <w:left w:type="dxa" w:w="140"/>
              <w:bottom w:type="dxa" w:w="100"/>
              <w:right w:type="dxa" w:w="140"/>
            </w:tcMar>
            <w:vAlign w:val="center"/>
          </w:tcPr>
          <w:p>
            <w:r>
              <w:rPr>
                <w:sz w:val="20"/>
                <w:szCs w:val="20"/>
              </w:rPr>
              <w:t xml:space="preserve">Cabezal de torque electrónico con feeder de tornillos</w:t>
            </w:r>
          </w:p>
        </w:tc>
      </w:tr>
      <w:tr>
        <w:tc>
          <w:tcPr>
            <w:tcW w:type="dxa" w:w="3200"/>
            <w:shd w:fill="F2F2F2" w:val="clear"/>
            <w:tcMar>
              <w:top w:type="dxa" w:w="100"/>
              <w:left w:type="dxa" w:w="140"/>
              <w:bottom w:type="dxa" w:w="100"/>
              <w:right w:type="dxa" w:w="140"/>
            </w:tcMar>
            <w:vAlign w:val="center"/>
          </w:tcPr>
          <w:p>
            <w:r>
              <w:rPr>
                <w:b/>
                <w:bCs/>
                <w:sz w:val="20"/>
                <w:szCs w:val="20"/>
              </w:rPr>
              <w:t xml:space="preserve">Sujeción del tornillo</w:t>
            </w:r>
          </w:p>
        </w:tc>
        <w:tc>
          <w:tcPr>
            <w:tcW w:type="dxa" w:w="6160"/>
            <w:tcMar>
              <w:top w:type="dxa" w:w="100"/>
              <w:left w:type="dxa" w:w="140"/>
              <w:bottom w:type="dxa" w:w="100"/>
              <w:right w:type="dxa" w:w="140"/>
            </w:tcMar>
            <w:vAlign w:val="center"/>
          </w:tcPr>
          <w:p>
            <w:r>
              <w:rPr>
                <w:sz w:val="20"/>
                <w:szCs w:val="20"/>
              </w:rPr>
              <w:t xml:space="preserve">Electroválvula de vacío (succión de baja presión, sin pistones)</w:t>
            </w:r>
          </w:p>
        </w:tc>
      </w:tr>
      <w:tr>
        <w:tc>
          <w:tcPr>
            <w:tcW w:type="dxa" w:w="3200"/>
            <w:shd w:fill="F2F2F2" w:val="clear"/>
            <w:tcMar>
              <w:top w:type="dxa" w:w="100"/>
              <w:left w:type="dxa" w:w="140"/>
              <w:bottom w:type="dxa" w:w="100"/>
              <w:right w:type="dxa" w:w="140"/>
            </w:tcMar>
            <w:vAlign w:val="center"/>
          </w:tcPr>
          <w:p>
            <w:r>
              <w:rPr>
                <w:b/>
                <w:bCs/>
                <w:sz w:val="20"/>
                <w:szCs w:val="20"/>
              </w:rPr>
              <w:t xml:space="preserve">Fijación de pieza</w:t>
            </w:r>
          </w:p>
        </w:tc>
        <w:tc>
          <w:tcPr>
            <w:tcW w:type="dxa" w:w="6160"/>
            <w:tcMar>
              <w:top w:type="dxa" w:w="100"/>
              <w:left w:type="dxa" w:w="140"/>
              <w:bottom w:type="dxa" w:w="100"/>
              <w:right w:type="dxa" w:w="140"/>
            </w:tcMar>
            <w:vAlign w:val="center"/>
          </w:tcPr>
          <w:p>
            <w:r>
              <w:rPr>
                <w:sz w:val="20"/>
                <w:szCs w:val="20"/>
              </w:rPr>
              <w:t xml:space="preserve">Fixture dedicada por estación, con 2 clamps de accionamiento manual</w:t>
            </w:r>
          </w:p>
        </w:tc>
      </w:tr>
      <w:tr>
        <w:tc>
          <w:tcPr>
            <w:tcW w:type="dxa" w:w="3200"/>
            <w:shd w:fill="F2F2F2" w:val="clear"/>
            <w:tcMar>
              <w:top w:type="dxa" w:w="100"/>
              <w:left w:type="dxa" w:w="140"/>
              <w:bottom w:type="dxa" w:w="100"/>
              <w:right w:type="dxa" w:w="140"/>
            </w:tcMar>
            <w:vAlign w:val="center"/>
          </w:tcPr>
          <w:p>
            <w:r>
              <w:rPr>
                <w:b/>
                <w:bCs/>
                <w:sz w:val="20"/>
                <w:szCs w:val="20"/>
              </w:rPr>
              <w:t xml:space="preserve">Alimentación eléctrica</w:t>
            </w:r>
          </w:p>
        </w:tc>
        <w:tc>
          <w:tcPr>
            <w:tcW w:type="dxa" w:w="6160"/>
            <w:tcMar>
              <w:top w:type="dxa" w:w="100"/>
              <w:left w:type="dxa" w:w="140"/>
              <w:bottom w:type="dxa" w:w="100"/>
              <w:right w:type="dxa" w:w="140"/>
            </w:tcMar>
            <w:vAlign w:val="center"/>
          </w:tcPr>
          <w:p>
            <w:r>
              <w:rPr>
                <w:sz w:val="20"/>
                <w:szCs w:val="20"/>
              </w:rPr>
              <w:t xml:space="preserve">Ver placa de datos en el gabinete eléctrico de cada estación</w:t>
            </w:r>
          </w:p>
        </w:tc>
      </w:tr>
      <w:tr>
        <w:tc>
          <w:tcPr>
            <w:tcW w:type="dxa" w:w="3200"/>
            <w:shd w:fill="F2F2F2" w:val="clear"/>
            <w:tcMar>
              <w:top w:type="dxa" w:w="100"/>
              <w:left w:type="dxa" w:w="140"/>
              <w:bottom w:type="dxa" w:w="100"/>
              <w:right w:type="dxa" w:w="140"/>
            </w:tcMar>
            <w:vAlign w:val="center"/>
          </w:tcPr>
          <w:p>
            <w:r>
              <w:rPr>
                <w:b/>
                <w:bCs/>
                <w:sz w:val="20"/>
                <w:szCs w:val="20"/>
              </w:rPr>
              <w:t xml:space="preserve">Alimentación neumática</w:t>
            </w:r>
          </w:p>
        </w:tc>
        <w:tc>
          <w:tcPr>
            <w:tcW w:type="dxa" w:w="6160"/>
            <w:tcMar>
              <w:top w:type="dxa" w:w="100"/>
              <w:left w:type="dxa" w:w="140"/>
              <w:bottom w:type="dxa" w:w="100"/>
              <w:right w:type="dxa" w:w="140"/>
            </w:tcMar>
            <w:vAlign w:val="center"/>
          </w:tcPr>
          <w:p>
            <w:r>
              <w:rPr>
                <w:sz w:val="20"/>
                <w:szCs w:val="20"/>
              </w:rPr>
              <w:t xml:space="preserve">Línea de baja presión dedicada a la succión de vacío (sistema FRL: Filtro-Regulador-Lubricador)</w:t>
            </w:r>
          </w:p>
        </w:tc>
      </w:tr>
      <w:tr>
        <w:tc>
          <w:tcPr>
            <w:tcW w:type="dxa" w:w="3200"/>
            <w:shd w:fill="F2F2F2" w:val="clear"/>
            <w:tcMar>
              <w:top w:type="dxa" w:w="100"/>
              <w:left w:type="dxa" w:w="140"/>
              <w:bottom w:type="dxa" w:w="100"/>
              <w:right w:type="dxa" w:w="140"/>
            </w:tcMar>
            <w:vAlign w:val="center"/>
          </w:tcPr>
          <w:p>
            <w:r>
              <w:rPr>
                <w:b/>
                <w:bCs/>
                <w:sz w:val="20"/>
                <w:szCs w:val="20"/>
              </w:rPr>
              <w:t xml:space="preserve">Protección del área de trabajo</w:t>
            </w:r>
          </w:p>
        </w:tc>
        <w:tc>
          <w:tcPr>
            <w:tcW w:type="dxa" w:w="6160"/>
            <w:tcMar>
              <w:top w:type="dxa" w:w="100"/>
              <w:left w:type="dxa" w:w="140"/>
              <w:bottom w:type="dxa" w:w="100"/>
              <w:right w:type="dxa" w:w="140"/>
            </w:tcMar>
            <w:vAlign w:val="center"/>
          </w:tcPr>
          <w:p>
            <w:r>
              <w:rPr>
                <w:sz w:val="20"/>
                <w:szCs w:val="20"/>
              </w:rPr>
              <w:t xml:space="preserve">3 cortinas de seguridad (luz) en el perímetro abierto del área central</w:t>
            </w:r>
          </w:p>
        </w:tc>
      </w:tr>
      <w:tr>
        <w:tc>
          <w:tcPr>
            <w:tcW w:type="dxa" w:w="3200"/>
            <w:shd w:fill="F2F2F2" w:val="clear"/>
            <w:tcMar>
              <w:top w:type="dxa" w:w="100"/>
              <w:left w:type="dxa" w:w="140"/>
              <w:bottom w:type="dxa" w:w="100"/>
              <w:right w:type="dxa" w:w="140"/>
            </w:tcMar>
            <w:vAlign w:val="center"/>
          </w:tcPr>
          <w:p>
            <w:r>
              <w:rPr>
                <w:b/>
                <w:bCs/>
                <w:sz w:val="20"/>
                <w:szCs w:val="20"/>
              </w:rPr>
              <w:t xml:space="preserve">Control de acceso a modos</w:t>
            </w:r>
          </w:p>
        </w:tc>
        <w:tc>
          <w:tcPr>
            <w:tcW w:type="dxa" w:w="6160"/>
            <w:tcMar>
              <w:top w:type="dxa" w:w="100"/>
              <w:left w:type="dxa" w:w="140"/>
              <w:bottom w:type="dxa" w:w="100"/>
              <w:right w:type="dxa" w:w="140"/>
            </w:tcMar>
            <w:vAlign w:val="center"/>
          </w:tcPr>
          <w:p>
            <w:r>
              <w:rPr>
                <w:sz w:val="20"/>
                <w:szCs w:val="20"/>
              </w:rPr>
              <w:t xml:space="preserve">Switch de llave Automático / Mantenimiento</w:t>
            </w:r>
          </w:p>
        </w:tc>
      </w:tr>
      <w:tr>
        <w:tc>
          <w:tcPr>
            <w:tcW w:type="dxa" w:w="3200"/>
            <w:shd w:fill="F2F2F2" w:val="clear"/>
            <w:tcMar>
              <w:top w:type="dxa" w:w="100"/>
              <w:left w:type="dxa" w:w="140"/>
              <w:bottom w:type="dxa" w:w="100"/>
              <w:right w:type="dxa" w:w="140"/>
            </w:tcMar>
            <w:vAlign w:val="center"/>
          </w:tcPr>
          <w:p>
            <w:r>
              <w:rPr>
                <w:b/>
                <w:bCs/>
                <w:sz w:val="20"/>
                <w:szCs w:val="20"/>
              </w:rPr>
              <w:t xml:space="preserve">Dispositivos de seguridad</w:t>
            </w:r>
          </w:p>
        </w:tc>
        <w:tc>
          <w:tcPr>
            <w:tcW w:type="dxa" w:w="6160"/>
            <w:tcMar>
              <w:top w:type="dxa" w:w="100"/>
              <w:left w:type="dxa" w:w="140"/>
              <w:bottom w:type="dxa" w:w="100"/>
              <w:right w:type="dxa" w:w="140"/>
            </w:tcMar>
            <w:vAlign w:val="center"/>
          </w:tcPr>
          <w:p>
            <w:r>
              <w:rPr>
                <w:sz w:val="20"/>
                <w:szCs w:val="20"/>
              </w:rPr>
              <w:t xml:space="preserve">Paro de emergencia (E-Stop), switch de llave, switch general LOTO, cortinas de seguridad</w:t>
            </w:r>
          </w:p>
        </w:tc>
      </w:tr>
      <w:tr>
        <w:tc>
          <w:tcPr>
            <w:tcW w:type="dxa" w:w="3200"/>
            <w:shd w:fill="F2F2F2" w:val="clear"/>
            <w:tcMar>
              <w:top w:type="dxa" w:w="100"/>
              <w:left w:type="dxa" w:w="140"/>
              <w:bottom w:type="dxa" w:w="100"/>
              <w:right w:type="dxa" w:w="140"/>
            </w:tcMar>
            <w:vAlign w:val="center"/>
          </w:tcPr>
          <w:p>
            <w:r>
              <w:rPr>
                <w:b/>
                <w:bCs/>
                <w:sz w:val="20"/>
                <w:szCs w:val="20"/>
              </w:rPr>
              <w:t xml:space="preserve">Indicadores</w:t>
            </w:r>
          </w:p>
        </w:tc>
        <w:tc>
          <w:tcPr>
            <w:tcW w:type="dxa" w:w="6160"/>
            <w:tcMar>
              <w:top w:type="dxa" w:w="100"/>
              <w:left w:type="dxa" w:w="140"/>
              <w:bottom w:type="dxa" w:w="100"/>
              <w:right w:type="dxa" w:w="140"/>
            </w:tcMar>
            <w:vAlign w:val="center"/>
          </w:tcPr>
          <w:p>
            <w:r>
              <w:rPr>
                <w:sz w:val="20"/>
                <w:szCs w:val="20"/>
              </w:rPr>
              <w:t xml:space="preserve">Torreta de señalización (luz apiladora), monitor en brazo articulado para inspección/HMI</w:t>
            </w:r>
          </w:p>
        </w:tc>
      </w:tr>
    </w:tbl>
    <w:p>
      <w:pPr>
        <w:pStyle w:val="Heading1"/>
        <w:pBdr>
          <w:bottom w:val="single" w:color="3E7C8C" w:sz="6" w:space="4"/>
        </w:pBdr>
        <w:spacing w:after="200" w:before="400"/>
      </w:pPr>
      <w:r>
        <w:rPr>
          <w:b/>
          <w:bCs/>
          <w:color w:val="2E3A45"/>
          <w:sz w:val="30"/>
          <w:szCs w:val="30"/>
        </w:rPr>
        <w:t xml:space="preserve">3.  Descripción General de la Máquina</w:t>
      </w:r>
    </w:p>
    <w:p>
      <w:pPr>
        <w:spacing w:after="160" w:line="300"/>
      </w:pPr>
      <w:r>
        <w:rPr>
          <w:sz w:val="21"/>
          <w:szCs w:val="21"/>
        </w:rPr>
        <w:t xml:space="preserve">La estructura de la estación se divide en tres zonas principales: el área de trabajo central (donde se monta la fixture y opera el robot gantry), el gabinete de control (panel frontal con botones y pantalla) y el gabinete eléctrico/neumático inferior (fuente de poder, PLC, switch principal, sistema FRL).</w:t>
      </w:r>
    </w:p>
    <w:p>
      <w:pPr>
        <w:spacing w:after="4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47900"/>
                    </a:xfrm>
                    <a:prstGeom prst="rect">
                      <a:avLst/>
                    </a:prstGeom>
                  </pic:spPr>
                </pic:pic>
              </a:graphicData>
            </a:graphic>
          </wp:inline>
        </w:drawing>
      </w:r>
    </w:p>
    <w:p>
      <w:pPr>
        <w:spacing w:after="260" w:before="80"/>
        <w:jc w:val="center"/>
      </w:pPr>
      <w:r>
        <w:rPr>
          <w:i/>
          <w:iCs/>
          <w:color w:val="555555"/>
          <w:sz w:val="18"/>
          <w:szCs w:val="18"/>
        </w:rPr>
        <w:t xml:space="preserve">Figura 1. Vista isométrica general de la estación STTOR.</w:t>
      </w:r>
    </w:p>
    <w:p>
      <w:pPr>
        <w:pStyle w:val="Heading2"/>
        <w:spacing w:after="140" w:before="260"/>
      </w:pPr>
      <w:r>
        <w:rPr>
          <w:b/>
          <w:bCs/>
          <w:color w:val="3E7C8C"/>
          <w:sz w:val="24"/>
          <w:szCs w:val="24"/>
        </w:rPr>
        <w:t xml:space="preserve">3.1 Componentes principales</w:t>
      </w:r>
    </w:p>
    <w:p>
      <w:pPr>
        <w:pStyle w:val="ListParagraph"/>
        <w:numPr>
          <w:ilvl w:val="0"/>
          <w:numId w:val="2"/>
        </w:numPr>
        <w:spacing w:after="80"/>
      </w:pPr>
      <w:r>
        <w:rPr>
          <w:sz w:val="21"/>
          <w:szCs w:val="21"/>
        </w:rPr>
        <w:t xml:space="preserve">Robot gantry de 3 ejes (XYZ): traslada el cabezal de torque entre la posición de recolección del tornillo y la posición de atornillado sobre la pieza.</w:t>
      </w:r>
    </w:p>
    <w:p>
      <w:pPr>
        <w:pStyle w:val="ListParagraph"/>
        <w:numPr>
          <w:ilvl w:val="0"/>
          <w:numId w:val="2"/>
        </w:numPr>
        <w:spacing w:after="80"/>
      </w:pPr>
      <w:r>
        <w:rPr>
          <w:sz w:val="21"/>
          <w:szCs w:val="21"/>
        </w:rPr>
        <w:t xml:space="preserve">Cabezal de torque: aplica el par de apriete programado a cada tornillo.</w:t>
      </w:r>
    </w:p>
    <w:p>
      <w:pPr>
        <w:pStyle w:val="ListParagraph"/>
        <w:numPr>
          <w:ilvl w:val="0"/>
          <w:numId w:val="2"/>
        </w:numPr>
        <w:spacing w:after="80"/>
      </w:pPr>
      <w:r>
        <w:rPr>
          <w:sz w:val="21"/>
          <w:szCs w:val="21"/>
        </w:rPr>
        <w:t xml:space="preserve">Feeder de tornillos: alimenta y singuliza los tornillos para su recolección.</w:t>
      </w:r>
    </w:p>
    <w:p>
      <w:pPr>
        <w:pStyle w:val="ListParagraph"/>
        <w:numPr>
          <w:ilvl w:val="0"/>
          <w:numId w:val="2"/>
        </w:numPr>
        <w:spacing w:after="80"/>
      </w:pPr>
      <w:r>
        <w:rPr>
          <w:sz w:val="21"/>
          <w:szCs w:val="21"/>
        </w:rPr>
        <w:t xml:space="preserve">Sistema de vacío (electroválvula): genera la succión que sujeta el tornillo durante su traslado del feeder a la pieza.</w:t>
      </w:r>
    </w:p>
    <w:p>
      <w:pPr>
        <w:pStyle w:val="ListParagraph"/>
        <w:numPr>
          <w:ilvl w:val="0"/>
          <w:numId w:val="2"/>
        </w:numPr>
        <w:spacing w:after="80"/>
      </w:pPr>
      <w:r>
        <w:rPr>
          <w:sz w:val="21"/>
          <w:szCs w:val="21"/>
        </w:rPr>
        <w:t xml:space="preserve">Slider en X: desplaza la fixture con la pieza, de forma independiente al gantry, entre la posición de carga/descarga (frente de la máquina) y la posición de atornillado. Algunas estaciones cuentan con un eje adicional en el slider.</w:t>
      </w:r>
    </w:p>
    <w:p>
      <w:pPr>
        <w:pStyle w:val="ListParagraph"/>
        <w:numPr>
          <w:ilvl w:val="0"/>
          <w:numId w:val="2"/>
        </w:numPr>
        <w:spacing w:after="80"/>
      </w:pPr>
      <w:r>
        <w:rPr>
          <w:sz w:val="21"/>
          <w:szCs w:val="21"/>
        </w:rPr>
        <w:t xml:space="preserve">Fixture: aloja y referencia la pieza; se asegura con 2 clamps de accionamiento manual.</w:t>
      </w:r>
    </w:p>
    <w:p>
      <w:pPr>
        <w:pStyle w:val="ListParagraph"/>
        <w:numPr>
          <w:ilvl w:val="0"/>
          <w:numId w:val="2"/>
        </w:numPr>
        <w:spacing w:after="80"/>
      </w:pPr>
      <w:r>
        <w:rPr>
          <w:sz w:val="21"/>
          <w:szCs w:val="21"/>
        </w:rPr>
        <w:t xml:space="preserve">Monitor en brazo articulado: despliegue de inspección visual / interfaz HMI para el operador.</w:t>
      </w:r>
    </w:p>
    <w:p>
      <w:pPr>
        <w:pStyle w:val="ListParagraph"/>
        <w:numPr>
          <w:ilvl w:val="0"/>
          <w:numId w:val="2"/>
        </w:numPr>
        <w:spacing w:after="80"/>
      </w:pPr>
      <w:r>
        <w:rPr>
          <w:sz w:val="21"/>
          <w:szCs w:val="21"/>
        </w:rPr>
        <w:t xml:space="preserve">Torreta de señalización: indica visualmente el estado de la máquina (ciclo, alarma, espera).</w:t>
      </w:r>
    </w:p>
    <w:p>
      <w:pPr>
        <w:pStyle w:val="ListParagraph"/>
        <w:numPr>
          <w:ilvl w:val="0"/>
          <w:numId w:val="2"/>
        </w:numPr>
        <w:spacing w:after="80"/>
      </w:pPr>
      <w:r>
        <w:rPr>
          <w:sz w:val="21"/>
          <w:szCs w:val="21"/>
        </w:rPr>
        <w:t xml:space="preserve">Panel de control frontal: botones de operación y paro de emergencia (ver Sección 6).</w:t>
      </w:r>
    </w:p>
    <w:p>
      <w:pPr>
        <w:pStyle w:val="ListParagraph"/>
        <w:numPr>
          <w:ilvl w:val="0"/>
          <w:numId w:val="2"/>
        </w:numPr>
        <w:spacing w:after="80"/>
      </w:pPr>
      <w:r>
        <w:rPr>
          <w:sz w:val="21"/>
          <w:szCs w:val="21"/>
        </w:rPr>
        <w:t xml:space="preserve">Gabinete eléctrico y switch general (LOTO): fuente de poder, controlador y punto de aislamiento de energía (ver Sección 7).</w:t>
      </w:r>
    </w:p>
    <w:p>
      <w:pPr>
        <w:pStyle w:val="ListParagraph"/>
        <w:numPr>
          <w:ilvl w:val="0"/>
          <w:numId w:val="2"/>
        </w:numPr>
        <w:spacing w:after="80"/>
      </w:pPr>
      <w:r>
        <w:rPr>
          <w:sz w:val="21"/>
          <w:szCs w:val="21"/>
        </w:rPr>
        <w:t xml:space="preserve">Sistema neumático FRL: filtro-regulador-lubricador que acondiciona el aire para la electroválvula de vacío (ver Sección 8).</w:t>
      </w:r>
    </w:p>
    <w:p>
      <w:pPr>
        <w:pStyle w:val="ListParagraph"/>
        <w:numPr>
          <w:ilvl w:val="0"/>
          <w:numId w:val="2"/>
        </w:numPr>
        <w:spacing w:after="80"/>
      </w:pPr>
      <w:r>
        <w:rPr>
          <w:sz w:val="21"/>
          <w:szCs w:val="21"/>
        </w:rPr>
        <w:t xml:space="preserve">3 cortinas de seguridad: protegen el perímetro abierto del área central de trabajo, deteniendo el ciclo automático si se interrumpen.</w:t>
      </w:r>
    </w:p>
    <w:p>
      <w:pPr>
        <w:pStyle w:val="Heading1"/>
        <w:pBdr>
          <w:bottom w:val="single" w:color="3E7C8C" w:sz="6" w:space="4"/>
        </w:pBdr>
        <w:spacing w:after="200" w:before="400"/>
      </w:pPr>
      <w:r>
        <w:rPr>
          <w:b/>
          <w:bCs/>
          <w:color w:val="2E3A45"/>
          <w:sz w:val="30"/>
          <w:szCs w:val="30"/>
        </w:rPr>
        <w:t xml:space="preserve">4.  Seguridad</w:t>
      </w:r>
    </w:p>
    <w:tbl>
      <w:tblPr>
        <w:tblW w:type="dxa" w:w="9360"/>
        <w:tblBorders>
          <w:top w:val="single" w:color="C0392B" w:sz="12"/>
          <w:left w:val="single" w:color="C0392B" w:sz="12"/>
          <w:bottom w:val="single" w:color="C0392B" w:sz="12"/>
          <w:right w:val="single" w:color="C0392B" w:sz="12"/>
          <w:insideH w:val="single" w:color="auto" w:sz="4"/>
          <w:insideV w:val="single" w:color="auto" w:sz="4"/>
        </w:tblBorders>
      </w:tblPr>
      <w:tblGrid>
        <w:gridCol w:w="9360"/>
      </w:tblGrid>
      <w:tr>
        <w:tc>
          <w:tcPr>
            <w:tcW w:type="dxa" w:w="9360"/>
            <w:shd w:fill="FBEAEA" w:val="clear"/>
            <w:tcMar>
              <w:top w:type="dxa" w:w="140"/>
              <w:left w:type="dxa" w:w="160"/>
              <w:bottom w:type="dxa" w:w="140"/>
              <w:right w:type="dxa" w:w="160"/>
            </w:tcMar>
          </w:tcPr>
          <w:p>
            <w:r>
              <w:rPr>
                <w:b/>
                <w:bCs/>
                <w:color w:val="C0392B"/>
                <w:sz w:val="21"/>
                <w:szCs w:val="21"/>
              </w:rPr>
              <w:t xml:space="preserve">⚠ Lea esta sección antes de operar o dar mantenimiento a la máquina.</w:t>
            </w:r>
          </w:p>
          <w:p>
            <w:pPr>
              <w:spacing w:before="60"/>
            </w:pPr>
            <w:r>
              <w:rPr>
                <w:sz w:val="20"/>
                <w:szCs w:val="20"/>
              </w:rPr>
              <w:t xml:space="preserve">Esta estación cuenta con movimiento automático de múltiples ejes servo-controlados (gantry, slider y cabezal de torque). El incumplimiento de los procedimientos de seguridad de esta sección puede causar lesiones graves.</w:t>
            </w:r>
          </w:p>
        </w:tc>
      </w:tr>
    </w:tbl>
    <w:p>
      <w:pPr>
        <w:pStyle w:val="Heading2"/>
        <w:spacing w:after="140" w:before="260"/>
      </w:pPr>
      <w:r>
        <w:rPr>
          <w:b/>
          <w:bCs/>
          <w:color w:val="3E7C8C"/>
          <w:sz w:val="24"/>
          <w:szCs w:val="24"/>
        </w:rPr>
        <w:t xml:space="preserve">4.1 Dispositivos de seguridad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2E3A45" w:val="clear"/>
            <w:tcMar>
              <w:top w:type="dxa" w:w="90"/>
              <w:left w:type="dxa" w:w="120"/>
              <w:bottom w:type="dxa" w:w="90"/>
              <w:right w:type="dxa" w:w="120"/>
            </w:tcMar>
            <w:vAlign w:val="center"/>
          </w:tcPr>
          <w:p>
            <w:r>
              <w:rPr>
                <w:b/>
                <w:bCs/>
                <w:color w:val="FFFFFF"/>
                <w:sz w:val="19"/>
                <w:szCs w:val="19"/>
              </w:rPr>
              <w:t xml:space="preserve">Dispositivo</w:t>
            </w:r>
          </w:p>
        </w:tc>
        <w:tc>
          <w:tcPr>
            <w:tcW w:type="dxa" w:w="5960"/>
            <w:shd w:fill="2E3A45" w:val="clear"/>
            <w:tcMar>
              <w:top w:type="dxa" w:w="90"/>
              <w:left w:type="dxa" w:w="120"/>
              <w:bottom w:type="dxa" w:w="90"/>
              <w:right w:type="dxa" w:w="120"/>
            </w:tcMar>
            <w:vAlign w:val="center"/>
          </w:tcPr>
          <w:p>
            <w:r>
              <w:rPr>
                <w:b/>
                <w:bCs/>
                <w:color w:val="FFFFFF"/>
                <w:sz w:val="19"/>
                <w:szCs w:val="19"/>
              </w:rPr>
              <w:t xml:space="preserve">Función</w:t>
            </w:r>
          </w:p>
        </w:tc>
      </w:tr>
      <w:tr>
        <w:tc>
          <w:tcPr>
            <w:tcW w:type="dxa" w:w="3400"/>
            <w:shd w:fill="FFFFFF" w:val="clear"/>
            <w:tcMar>
              <w:top w:type="dxa" w:w="80"/>
              <w:left w:type="dxa" w:w="120"/>
              <w:bottom w:type="dxa" w:w="80"/>
              <w:right w:type="dxa" w:w="120"/>
            </w:tcMar>
            <w:vAlign w:val="center"/>
          </w:tcPr>
          <w:p>
            <w:r>
              <w:rPr>
                <w:sz w:val="19"/>
                <w:szCs w:val="19"/>
              </w:rPr>
              <w:t xml:space="preserve">Botón de paro de emergencia (E-Stop)</w:t>
            </w:r>
          </w:p>
        </w:tc>
        <w:tc>
          <w:tcPr>
            <w:tcW w:type="dxa" w:w="5960"/>
            <w:shd w:fill="FFFFFF" w:val="clear"/>
            <w:tcMar>
              <w:top w:type="dxa" w:w="80"/>
              <w:left w:type="dxa" w:w="120"/>
              <w:bottom w:type="dxa" w:w="80"/>
              <w:right w:type="dxa" w:w="120"/>
            </w:tcMar>
            <w:vAlign w:val="center"/>
          </w:tcPr>
          <w:p>
            <w:r>
              <w:rPr>
                <w:sz w:val="19"/>
                <w:szCs w:val="19"/>
              </w:rPr>
              <w:t xml:space="preserve">Detiene inmediatamente todo movimiento de la máquina (gantry, slider, torque) al ser presionado.</w:t>
            </w:r>
          </w:p>
        </w:tc>
      </w:tr>
      <w:tr>
        <w:tc>
          <w:tcPr>
            <w:tcW w:type="dxa" w:w="3400"/>
            <w:shd w:fill="F2F2F2" w:val="clear"/>
            <w:tcMar>
              <w:top w:type="dxa" w:w="80"/>
              <w:left w:type="dxa" w:w="120"/>
              <w:bottom w:type="dxa" w:w="80"/>
              <w:right w:type="dxa" w:w="120"/>
            </w:tcMar>
            <w:vAlign w:val="center"/>
          </w:tcPr>
          <w:p>
            <w:r>
              <w:rPr>
                <w:sz w:val="19"/>
                <w:szCs w:val="19"/>
              </w:rPr>
              <w:t xml:space="preserve">Switch de llave Automático / Mantenimiento</w:t>
            </w:r>
          </w:p>
        </w:tc>
        <w:tc>
          <w:tcPr>
            <w:tcW w:type="dxa" w:w="5960"/>
            <w:shd w:fill="F2F2F2" w:val="clear"/>
            <w:tcMar>
              <w:top w:type="dxa" w:w="80"/>
              <w:left w:type="dxa" w:w="120"/>
              <w:bottom w:type="dxa" w:w="80"/>
              <w:right w:type="dxa" w:w="120"/>
            </w:tcMar>
            <w:vAlign w:val="center"/>
          </w:tcPr>
          <w:p>
            <w:r>
              <w:rPr>
                <w:sz w:val="19"/>
                <w:szCs w:val="19"/>
              </w:rPr>
              <w:t xml:space="preserve">Selecciona el modo de operación; en modo Mantenimiento se deshabilita el ciclo automático.</w:t>
            </w:r>
          </w:p>
        </w:tc>
      </w:tr>
      <w:tr>
        <w:tc>
          <w:tcPr>
            <w:tcW w:type="dxa" w:w="3400"/>
            <w:shd w:fill="FFFFFF" w:val="clear"/>
            <w:tcMar>
              <w:top w:type="dxa" w:w="80"/>
              <w:left w:type="dxa" w:w="120"/>
              <w:bottom w:type="dxa" w:w="80"/>
              <w:right w:type="dxa" w:w="120"/>
            </w:tcMar>
            <w:vAlign w:val="center"/>
          </w:tcPr>
          <w:p>
            <w:r>
              <w:rPr>
                <w:sz w:val="19"/>
                <w:szCs w:val="19"/>
              </w:rPr>
              <w:t xml:space="preserve">3 cortinas de seguridad</w:t>
            </w:r>
          </w:p>
        </w:tc>
        <w:tc>
          <w:tcPr>
            <w:tcW w:type="dxa" w:w="5960"/>
            <w:shd w:fill="FFFFFF" w:val="clear"/>
            <w:tcMar>
              <w:top w:type="dxa" w:w="80"/>
              <w:left w:type="dxa" w:w="120"/>
              <w:bottom w:type="dxa" w:w="80"/>
              <w:right w:type="dxa" w:w="120"/>
            </w:tcMar>
            <w:vAlign w:val="center"/>
          </w:tcPr>
          <w:p>
            <w:r>
              <w:rPr>
                <w:sz w:val="19"/>
                <w:szCs w:val="19"/>
              </w:rPr>
              <w:t xml:space="preserve">Detectan la intrusión de manos/brazos en el área central abierta y detienen el ciclo automático del gantry, el slider y el cabezal de torque.</w:t>
            </w:r>
          </w:p>
        </w:tc>
      </w:tr>
      <w:tr>
        <w:tc>
          <w:tcPr>
            <w:tcW w:type="dxa" w:w="3400"/>
            <w:shd w:fill="F2F2F2" w:val="clear"/>
            <w:tcMar>
              <w:top w:type="dxa" w:w="80"/>
              <w:left w:type="dxa" w:w="120"/>
              <w:bottom w:type="dxa" w:w="80"/>
              <w:right w:type="dxa" w:w="120"/>
            </w:tcMar>
            <w:vAlign w:val="center"/>
          </w:tcPr>
          <w:p>
            <w:r>
              <w:rPr>
                <w:sz w:val="19"/>
                <w:szCs w:val="19"/>
              </w:rPr>
              <w:t xml:space="preserve">Switch general de desconexión (LOTO)</w:t>
            </w:r>
          </w:p>
        </w:tc>
        <w:tc>
          <w:tcPr>
            <w:tcW w:type="dxa" w:w="5960"/>
            <w:shd w:fill="F2F2F2" w:val="clear"/>
            <w:tcMar>
              <w:top w:type="dxa" w:w="80"/>
              <w:left w:type="dxa" w:w="120"/>
              <w:bottom w:type="dxa" w:w="80"/>
              <w:right w:type="dxa" w:w="120"/>
            </w:tcMar>
            <w:vAlign w:val="center"/>
          </w:tcPr>
          <w:p>
            <w:r>
              <w:rPr>
                <w:sz w:val="19"/>
                <w:szCs w:val="19"/>
              </w:rPr>
              <w:t xml:space="preserve">Aísla la energía eléctrica principal de la máquina; punto de bloqueo y etiquetado para mantenimiento.</w:t>
            </w:r>
          </w:p>
        </w:tc>
      </w:tr>
      <w:tr>
        <w:tc>
          <w:tcPr>
            <w:tcW w:type="dxa" w:w="3400"/>
            <w:shd w:fill="FFFFFF" w:val="clear"/>
            <w:tcMar>
              <w:top w:type="dxa" w:w="80"/>
              <w:left w:type="dxa" w:w="120"/>
              <w:bottom w:type="dxa" w:w="80"/>
              <w:right w:type="dxa" w:w="120"/>
            </w:tcMar>
            <w:vAlign w:val="center"/>
          </w:tcPr>
          <w:p>
            <w:r>
              <w:rPr>
                <w:sz w:val="19"/>
                <w:szCs w:val="19"/>
              </w:rPr>
              <w:t xml:space="preserve">Botón de reset</w:t>
            </w:r>
          </w:p>
        </w:tc>
        <w:tc>
          <w:tcPr>
            <w:tcW w:type="dxa" w:w="5960"/>
            <w:shd w:fill="FFFFFF" w:val="clear"/>
            <w:tcMar>
              <w:top w:type="dxa" w:w="80"/>
              <w:left w:type="dxa" w:w="120"/>
              <w:bottom w:type="dxa" w:w="80"/>
              <w:right w:type="dxa" w:w="120"/>
            </w:tcMar>
            <w:vAlign w:val="center"/>
          </w:tcPr>
          <w:p>
            <w:r>
              <w:rPr>
                <w:sz w:val="19"/>
                <w:szCs w:val="19"/>
              </w:rPr>
              <w:t xml:space="preserve">Reinicia la máquina después de un paro (E-Stop, cortina de seguridad o alarma), una vez despejada la condición.</w:t>
            </w:r>
          </w:p>
        </w:tc>
      </w:tr>
    </w:tbl>
    <w:p>
      <w:pPr>
        <w:pStyle w:val="Heading2"/>
        <w:spacing w:after="140" w:before="260"/>
      </w:pPr>
      <w:r>
        <w:rPr>
          <w:b/>
          <w:bCs/>
          <w:color w:val="3E7C8C"/>
          <w:sz w:val="24"/>
          <w:szCs w:val="24"/>
        </w:rPr>
        <w:t xml:space="preserve">4.2 Riesgos residuales y su control</w:t>
      </w:r>
    </w:p>
    <w:p>
      <w:pPr>
        <w:spacing w:after="160" w:line="300"/>
      </w:pPr>
      <w:r>
        <w:rPr>
          <w:sz w:val="21"/>
          <w:szCs w:val="21"/>
        </w:rPr>
        <w:t xml:space="preserve">El riesgo principal de esta estación es el arranque o movimiento inesperado de un eje (gantry, slider o cabezal de torque) mientras el operador tiene las manos en el área central colocando o retirando la pieza. Este riesgo se controla mediante las 3 cortinas de seguridad, que detienen el ciclo automático de los tres sistemas de forma inmediata al ser interrumpidas.</w:t>
      </w:r>
    </w:p>
    <w:p>
      <w:pPr>
        <w:spacing w:after="160" w:line="300"/>
      </w:pPr>
      <w:r>
        <w:rPr>
          <w:sz w:val="21"/>
          <w:szCs w:val="21"/>
        </w:rPr>
        <w:t xml:space="preserve">Durante el mantenimiento (cambio de motor, eje, cable, limpieza, engrasado de ejes o calibración de torque), el mismo riesgo de arranque inesperado se controla mediante el procedimiento de bloqueo y etiquetado (LOTO): se coloca el switch de llave en modo Mantenimiento y se bloquea la energía en el switch general (ver Sección 7).</w:t>
      </w:r>
    </w:p>
    <w:p>
      <w:pPr>
        <w:spacing w:after="160" w:line="300"/>
      </w:pPr>
      <w:r>
        <w:rPr>
          <w:sz w:val="21"/>
          <w:szCs w:val="21"/>
        </w:rPr>
        <w:t xml:space="preserve">El sistema neumático de esta estación opera únicamente por succión de vacío a baja presión (no utiliza pistones ni actuadores neumáticos de potencia), por lo que el riesgo asociado a la energía neumática residual es bajo. Actualmente la estación no cuenta con una válvula de despresurización/bloqueo LOTO dedicada al circuito neumático; este componente se encuentra en proceso de adquisición. Mientras se instala, el circuito debe inspeccionarse periódicamente y el personal de mantenimiento debe considerar la posible presión residual antes de desconectar líneas neumáticas.</w:t>
      </w:r>
    </w:p>
    <w:p>
      <w:pPr>
        <w:pStyle w:val="Heading2"/>
        <w:spacing w:after="140" w:before="260"/>
      </w:pPr>
      <w:r>
        <w:rPr>
          <w:b/>
          <w:bCs/>
          <w:color w:val="3E7C8C"/>
          <w:sz w:val="24"/>
          <w:szCs w:val="24"/>
        </w:rPr>
        <w:t xml:space="preserve">4.3 Reglas generales de seguridad</w:t>
      </w:r>
    </w:p>
    <w:p>
      <w:pPr>
        <w:pStyle w:val="ListParagraph"/>
        <w:numPr>
          <w:ilvl w:val="0"/>
          <w:numId w:val="3"/>
        </w:numPr>
        <w:spacing w:after="100"/>
      </w:pPr>
      <w:r>
        <w:rPr>
          <w:sz w:val="21"/>
          <w:szCs w:val="21"/>
        </w:rPr>
        <w:t xml:space="preserve">No retire, desactive ni puentee las cortinas de seguridad ni el E-Stop bajo ninguna circunstancia.</w:t>
      </w:r>
    </w:p>
    <w:p>
      <w:pPr>
        <w:pStyle w:val="ListParagraph"/>
        <w:numPr>
          <w:ilvl w:val="0"/>
          <w:numId w:val="3"/>
        </w:numPr>
        <w:spacing w:after="100"/>
      </w:pPr>
      <w:r>
        <w:rPr>
          <w:sz w:val="21"/>
          <w:szCs w:val="21"/>
        </w:rPr>
        <w:t xml:space="preserve">No introduzca las manos en el área central de trabajo mientras la torreta de señalización indique ciclo automático activo.</w:t>
      </w:r>
    </w:p>
    <w:p>
      <w:pPr>
        <w:pStyle w:val="ListParagraph"/>
        <w:numPr>
          <w:ilvl w:val="0"/>
          <w:numId w:val="3"/>
        </w:numPr>
        <w:spacing w:after="100"/>
      </w:pPr>
      <w:r>
        <w:rPr>
          <w:sz w:val="21"/>
          <w:szCs w:val="21"/>
        </w:rPr>
        <w:t xml:space="preserve">Antes de cualquier tarea de mantenimiento, coloque el switch de llave en modo Mantenimiento y aplique el procedimiento de bloqueo y etiquetado (LOTO) en el switch general.</w:t>
      </w:r>
    </w:p>
    <w:p>
      <w:pPr>
        <w:pStyle w:val="ListParagraph"/>
        <w:numPr>
          <w:ilvl w:val="0"/>
          <w:numId w:val="3"/>
        </w:numPr>
        <w:spacing w:after="100"/>
      </w:pPr>
      <w:r>
        <w:rPr>
          <w:sz w:val="21"/>
          <w:szCs w:val="21"/>
        </w:rPr>
        <w:t xml:space="preserve">Verifique que las cortinas de seguridad y el E-Stop respondan correctamente antes de iniciar turno.</w:t>
      </w:r>
    </w:p>
    <w:p>
      <w:pPr>
        <w:pStyle w:val="ListParagraph"/>
        <w:numPr>
          <w:ilvl w:val="0"/>
          <w:numId w:val="3"/>
        </w:numPr>
        <w:spacing w:after="100"/>
      </w:pPr>
      <w:r>
        <w:rPr>
          <w:sz w:val="21"/>
          <w:szCs w:val="21"/>
        </w:rPr>
        <w:t xml:space="preserve">Reporte cualquier daño visible en cableado, guardas o dispositivos de seguridad antes de operar la máquina.</w:t>
      </w:r>
    </w:p>
    <w:p>
      <w:pPr>
        <w:pStyle w:val="Heading1"/>
        <w:pBdr>
          <w:bottom w:val="single" w:color="3E7C8C" w:sz="6" w:space="4"/>
        </w:pBdr>
        <w:spacing w:after="200" w:before="400"/>
      </w:pPr>
      <w:r>
        <w:rPr>
          <w:b/>
          <w:bCs/>
          <w:color w:val="2E3A45"/>
          <w:sz w:val="30"/>
          <w:szCs w:val="30"/>
        </w:rPr>
        <w:t xml:space="preserve">5.  Panel de Control</w:t>
      </w:r>
    </w:p>
    <w:p>
      <w:pPr>
        <w:spacing w:after="160" w:line="300"/>
      </w:pPr>
      <w:r>
        <w:rPr>
          <w:sz w:val="21"/>
          <w:szCs w:val="21"/>
        </w:rPr>
        <w:t xml:space="preserve">El panel de control frontal concentra los botones de operación normal y el paro de emergencia de la estación.</w:t>
      </w:r>
    </w:p>
    <w:p>
      <w:pPr>
        <w:spacing w:after="40" w:before="120"/>
        <w:jc w:val="center"/>
      </w:pPr>
      <w:r>
        <w:drawing>
          <wp:inline distT="0" distB="0" distL="0" distR="0">
            <wp:extent cx="4191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362200"/>
                    </a:xfrm>
                    <a:prstGeom prst="rect">
                      <a:avLst/>
                    </a:prstGeom>
                  </pic:spPr>
                </pic:pic>
              </a:graphicData>
            </a:graphic>
          </wp:inline>
        </w:drawing>
      </w:r>
    </w:p>
    <w:p>
      <w:pPr>
        <w:spacing w:after="260" w:before="80"/>
        <w:jc w:val="center"/>
      </w:pPr>
      <w:r>
        <w:rPr>
          <w:i/>
          <w:iCs/>
          <w:color w:val="555555"/>
          <w:sz w:val="18"/>
          <w:szCs w:val="18"/>
        </w:rPr>
        <w:t xml:space="preserve">Figura 2. Panel de control: botones de operación y paro de emergencia.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2E3A45" w:val="clear"/>
            <w:tcMar>
              <w:top w:type="dxa" w:w="90"/>
              <w:left w:type="dxa" w:w="120"/>
              <w:bottom w:type="dxa" w:w="90"/>
              <w:right w:type="dxa" w:w="120"/>
            </w:tcMar>
            <w:vAlign w:val="center"/>
          </w:tcPr>
          <w:p>
            <w:r>
              <w:rPr>
                <w:b/>
                <w:bCs/>
                <w:color w:val="FFFFFF"/>
                <w:sz w:val="19"/>
                <w:szCs w:val="19"/>
              </w:rPr>
              <w:t xml:space="preserve">Control</w:t>
            </w:r>
          </w:p>
        </w:tc>
        <w:tc>
          <w:tcPr>
            <w:tcW w:type="dxa" w:w="5160"/>
            <w:shd w:fill="2E3A45" w:val="clear"/>
            <w:tcMar>
              <w:top w:type="dxa" w:w="90"/>
              <w:left w:type="dxa" w:w="120"/>
              <w:bottom w:type="dxa" w:w="90"/>
              <w:right w:type="dxa" w:w="120"/>
            </w:tcMar>
            <w:vAlign w:val="center"/>
          </w:tcPr>
          <w:p>
            <w:r>
              <w:rPr>
                <w:b/>
                <w:bCs/>
                <w:color w:val="FFFFFF"/>
                <w:sz w:val="19"/>
                <w:szCs w:val="19"/>
              </w:rPr>
              <w:t xml:space="preserve">Función</w:t>
            </w:r>
          </w:p>
        </w:tc>
      </w:tr>
      <w:tr>
        <w:tc>
          <w:tcPr>
            <w:tcW w:type="dxa" w:w="4200"/>
            <w:shd w:fill="FFFFFF" w:val="clear"/>
            <w:tcMar>
              <w:top w:type="dxa" w:w="80"/>
              <w:left w:type="dxa" w:w="120"/>
              <w:bottom w:type="dxa" w:w="80"/>
              <w:right w:type="dxa" w:w="120"/>
            </w:tcMar>
            <w:vAlign w:val="center"/>
          </w:tcPr>
          <w:p>
            <w:r>
              <w:rPr>
                <w:sz w:val="19"/>
                <w:szCs w:val="19"/>
              </w:rPr>
              <w:t xml:space="preserve">Botón de paro de emergencia (rojo/amarillo, central)</w:t>
            </w:r>
          </w:p>
        </w:tc>
        <w:tc>
          <w:tcPr>
            <w:tcW w:type="dxa" w:w="5160"/>
            <w:shd w:fill="FFFFFF" w:val="clear"/>
            <w:tcMar>
              <w:top w:type="dxa" w:w="80"/>
              <w:left w:type="dxa" w:w="120"/>
              <w:bottom w:type="dxa" w:w="80"/>
              <w:right w:type="dxa" w:w="120"/>
            </w:tcMar>
            <w:vAlign w:val="center"/>
          </w:tcPr>
          <w:p>
            <w:r>
              <w:rPr>
                <w:sz w:val="19"/>
                <w:szCs w:val="19"/>
              </w:rPr>
              <w:t xml:space="preserve">Detiene inmediatamente todo movimiento de la máquina.</w:t>
            </w:r>
          </w:p>
        </w:tc>
      </w:tr>
      <w:tr>
        <w:tc>
          <w:tcPr>
            <w:tcW w:type="dxa" w:w="4200"/>
            <w:shd w:fill="F2F2F2" w:val="clear"/>
            <w:tcMar>
              <w:top w:type="dxa" w:w="80"/>
              <w:left w:type="dxa" w:w="120"/>
              <w:bottom w:type="dxa" w:w="80"/>
              <w:right w:type="dxa" w:w="120"/>
            </w:tcMar>
            <w:vAlign w:val="center"/>
          </w:tcPr>
          <w:p>
            <w:r>
              <w:rPr>
                <w:sz w:val="19"/>
                <w:szCs w:val="19"/>
              </w:rPr>
              <w:t xml:space="preserve">Botón indicador verde (izquierdo)</w:t>
            </w:r>
          </w:p>
        </w:tc>
        <w:tc>
          <w:tcPr>
            <w:tcW w:type="dxa" w:w="5160"/>
            <w:shd w:fill="F2F2F2" w:val="clear"/>
            <w:tcMar>
              <w:top w:type="dxa" w:w="80"/>
              <w:left w:type="dxa" w:w="120"/>
              <w:bottom w:type="dxa" w:w="80"/>
              <w:right w:type="dxa" w:w="120"/>
            </w:tcMar>
            <w:vAlign w:val="center"/>
          </w:tcPr>
          <w:p>
            <w:r>
              <w:rPr>
                <w:sz w:val="19"/>
                <w:szCs w:val="19"/>
              </w:rPr>
              <w:t xml:space="preserve">Indica máquina energizada / lista para operar.</w:t>
            </w:r>
          </w:p>
        </w:tc>
      </w:tr>
      <w:tr>
        <w:tc>
          <w:tcPr>
            <w:tcW w:type="dxa" w:w="4200"/>
            <w:shd w:fill="FFFFFF" w:val="clear"/>
            <w:tcMar>
              <w:top w:type="dxa" w:w="80"/>
              <w:left w:type="dxa" w:w="120"/>
              <w:bottom w:type="dxa" w:w="80"/>
              <w:right w:type="dxa" w:w="120"/>
            </w:tcMar>
            <w:vAlign w:val="center"/>
          </w:tcPr>
          <w:p>
            <w:r>
              <w:rPr>
                <w:sz w:val="19"/>
                <w:szCs w:val="19"/>
              </w:rPr>
              <w:t xml:space="preserve">Botón blanco (derecho del E-Stop)</w:t>
            </w:r>
          </w:p>
        </w:tc>
        <w:tc>
          <w:tcPr>
            <w:tcW w:type="dxa" w:w="5160"/>
            <w:shd w:fill="FFFFFF" w:val="clear"/>
            <w:tcMar>
              <w:top w:type="dxa" w:w="80"/>
              <w:left w:type="dxa" w:w="120"/>
              <w:bottom w:type="dxa" w:w="80"/>
              <w:right w:type="dxa" w:w="120"/>
            </w:tcMar>
            <w:vAlign w:val="center"/>
          </w:tcPr>
          <w:p>
            <w:r>
              <w:rPr>
                <w:sz w:val="19"/>
                <w:szCs w:val="19"/>
              </w:rPr>
              <w:t xml:space="preserve">Botón de avance / inicio de ciclo (confirmar antes de operar en campo).</w:t>
            </w:r>
          </w:p>
        </w:tc>
      </w:tr>
      <w:tr>
        <w:tc>
          <w:tcPr>
            <w:tcW w:type="dxa" w:w="4200"/>
            <w:shd w:fill="F2F2F2" w:val="clear"/>
            <w:tcMar>
              <w:top w:type="dxa" w:w="80"/>
              <w:left w:type="dxa" w:w="120"/>
              <w:bottom w:type="dxa" w:w="80"/>
              <w:right w:type="dxa" w:w="120"/>
            </w:tcMar>
            <w:vAlign w:val="center"/>
          </w:tcPr>
          <w:p>
            <w:r>
              <w:rPr>
                <w:sz w:val="19"/>
                <w:szCs w:val="19"/>
              </w:rPr>
              <w:t xml:space="preserve">Botón indicador verde (panel lateral azul)</w:t>
            </w:r>
          </w:p>
        </w:tc>
        <w:tc>
          <w:tcPr>
            <w:tcW w:type="dxa" w:w="5160"/>
            <w:shd w:fill="F2F2F2" w:val="clear"/>
            <w:tcMar>
              <w:top w:type="dxa" w:w="80"/>
              <w:left w:type="dxa" w:w="120"/>
              <w:bottom w:type="dxa" w:w="80"/>
              <w:right w:type="dxa" w:w="120"/>
            </w:tcMar>
            <w:vAlign w:val="center"/>
          </w:tcPr>
          <w:p>
            <w:r>
              <w:rPr>
                <w:sz w:val="19"/>
                <w:szCs w:val="19"/>
              </w:rPr>
              <w:t xml:space="preserve">Indicador de estado de ciclo / disponibilidad de la estación.</w:t>
            </w:r>
          </w:p>
        </w:tc>
      </w:tr>
      <w:tr>
        <w:tc>
          <w:tcPr>
            <w:tcW w:type="dxa" w:w="4200"/>
            <w:shd w:fill="FFFFFF" w:val="clear"/>
            <w:tcMar>
              <w:top w:type="dxa" w:w="80"/>
              <w:left w:type="dxa" w:w="120"/>
              <w:bottom w:type="dxa" w:w="80"/>
              <w:right w:type="dxa" w:w="120"/>
            </w:tcMar>
            <w:vAlign w:val="center"/>
          </w:tcPr>
          <w:p>
            <w:r>
              <w:rPr>
                <w:sz w:val="19"/>
                <w:szCs w:val="19"/>
              </w:rPr>
              <w:t xml:space="preserve">Monitor / HMI</w:t>
            </w:r>
          </w:p>
        </w:tc>
        <w:tc>
          <w:tcPr>
            <w:tcW w:type="dxa" w:w="5160"/>
            <w:shd w:fill="FFFFFF" w:val="clear"/>
            <w:tcMar>
              <w:top w:type="dxa" w:w="80"/>
              <w:left w:type="dxa" w:w="120"/>
              <w:bottom w:type="dxa" w:w="80"/>
              <w:right w:type="dxa" w:w="120"/>
            </w:tcMar>
            <w:vAlign w:val="center"/>
          </w:tcPr>
          <w:p>
            <w:r>
              <w:rPr>
                <w:sz w:val="19"/>
                <w:szCs w:val="19"/>
              </w:rPr>
              <w:t xml:space="preserve">Interfaz de inspección y control de parámetros de la estación.</w:t>
            </w:r>
          </w:p>
        </w:tc>
      </w:tr>
    </w:tbl>
    <w:p>
      <w:pPr>
        <w:pStyle w:val="Heading1"/>
        <w:pBdr>
          <w:bottom w:val="single" w:color="3E7C8C" w:sz="6" w:space="4"/>
        </w:pBdr>
        <w:spacing w:after="200" w:before="400"/>
      </w:pPr>
      <w:r>
        <w:rPr>
          <w:b/>
          <w:bCs/>
          <w:color w:val="2E3A45"/>
          <w:sz w:val="30"/>
          <w:szCs w:val="30"/>
        </w:rPr>
        <w:t xml:space="preserve">6.  Operación Normal</w:t>
      </w:r>
    </w:p>
    <w:p>
      <w:pPr>
        <w:pStyle w:val="Heading2"/>
        <w:spacing w:after="140" w:before="260"/>
      </w:pPr>
      <w:r>
        <w:rPr>
          <w:b/>
          <w:bCs/>
          <w:color w:val="3E7C8C"/>
          <w:sz w:val="24"/>
          <w:szCs w:val="24"/>
        </w:rPr>
        <w:t xml:space="preserve">6.1 Inicialización</w:t>
      </w:r>
    </w:p>
    <w:p>
      <w:pPr>
        <w:pStyle w:val="ListParagraph"/>
        <w:numPr>
          <w:ilvl w:val="0"/>
          <w:numId w:val="3"/>
        </w:numPr>
        <w:spacing w:after="100"/>
      </w:pPr>
      <w:r>
        <w:rPr>
          <w:sz w:val="21"/>
          <w:szCs w:val="21"/>
        </w:rPr>
        <w:t xml:space="preserve">Al inicio de turno, energice la estación y realice la inicialización (homing) de todos los ejes desde el HMI.</w:t>
      </w:r>
    </w:p>
    <w:p>
      <w:pPr>
        <w:pStyle w:val="ListParagraph"/>
        <w:numPr>
          <w:ilvl w:val="0"/>
          <w:numId w:val="3"/>
        </w:numPr>
        <w:spacing w:after="100"/>
      </w:pPr>
      <w:r>
        <w:rPr>
          <w:sz w:val="21"/>
          <w:szCs w:val="21"/>
        </w:rPr>
        <w:t xml:space="preserve">Verifique visualmente que las 3 cortinas de seguridad, el E-Stop y el switch de llave funcionen correctamente.</w:t>
      </w:r>
    </w:p>
    <w:p>
      <w:pPr>
        <w:pStyle w:val="ListParagraph"/>
        <w:numPr>
          <w:ilvl w:val="0"/>
          <w:numId w:val="3"/>
        </w:numPr>
        <w:spacing w:after="100"/>
      </w:pPr>
      <w:r>
        <w:rPr>
          <w:sz w:val="21"/>
          <w:szCs w:val="21"/>
        </w:rPr>
        <w:t xml:space="preserve">Confirme que el feeder de tornillos y el sistema de vacío estén operativos.</w:t>
      </w:r>
    </w:p>
    <w:p>
      <w:pPr>
        <w:pStyle w:val="Heading2"/>
        <w:spacing w:after="140" w:before="260"/>
      </w:pPr>
      <w:r>
        <w:rPr>
          <w:b/>
          <w:bCs/>
          <w:color w:val="3E7C8C"/>
          <w:sz w:val="24"/>
          <w:szCs w:val="24"/>
        </w:rPr>
        <w:t xml:space="preserve">6.2 Ciclo de producción</w:t>
      </w:r>
    </w:p>
    <w:p>
      <w:pPr>
        <w:pStyle w:val="ListParagraph"/>
        <w:numPr>
          <w:ilvl w:val="0"/>
          <w:numId w:val="3"/>
        </w:numPr>
        <w:spacing w:after="100"/>
      </w:pPr>
      <w:r>
        <w:rPr>
          <w:sz w:val="21"/>
          <w:szCs w:val="21"/>
        </w:rPr>
        <w:t xml:space="preserve">El operador coloca manualmente la pieza en la fixture, en el frente de la máquina.</w:t>
      </w:r>
    </w:p>
    <w:p>
      <w:pPr>
        <w:pStyle w:val="ListParagraph"/>
        <w:numPr>
          <w:ilvl w:val="0"/>
          <w:numId w:val="3"/>
        </w:numPr>
        <w:spacing w:after="100"/>
      </w:pPr>
      <w:r>
        <w:rPr>
          <w:sz w:val="21"/>
          <w:szCs w:val="21"/>
        </w:rPr>
        <w:t xml:space="preserve">El operador asegura la pieza cerrando los 2 clamps manuales de la fixture.</w:t>
      </w:r>
    </w:p>
    <w:p>
      <w:pPr>
        <w:pStyle w:val="ListParagraph"/>
        <w:numPr>
          <w:ilvl w:val="0"/>
          <w:numId w:val="3"/>
        </w:numPr>
        <w:spacing w:after="100"/>
      </w:pPr>
      <w:r>
        <w:rPr>
          <w:sz w:val="21"/>
          <w:szCs w:val="21"/>
        </w:rPr>
        <w:t xml:space="preserve">El operador se retira del área central de trabajo (zona protegida por las 3 cortinas de seguridad).</w:t>
      </w:r>
    </w:p>
    <w:p>
      <w:pPr>
        <w:pStyle w:val="ListParagraph"/>
        <w:numPr>
          <w:ilvl w:val="0"/>
          <w:numId w:val="3"/>
        </w:numPr>
        <w:spacing w:after="100"/>
      </w:pPr>
      <w:r>
        <w:rPr>
          <w:sz w:val="21"/>
          <w:szCs w:val="21"/>
        </w:rPr>
        <w:t xml:space="preserve">El operador presiona el botón de avance para iniciar el ciclo automático.</w:t>
      </w:r>
    </w:p>
    <w:p>
      <w:pPr>
        <w:pStyle w:val="ListParagraph"/>
        <w:numPr>
          <w:ilvl w:val="0"/>
          <w:numId w:val="3"/>
        </w:numPr>
        <w:spacing w:after="100"/>
      </w:pPr>
      <w:r>
        <w:rPr>
          <w:sz w:val="21"/>
          <w:szCs w:val="21"/>
        </w:rPr>
        <w:t xml:space="preserve">El slider traslada la fixture con la pieza hacia el interior del área de trabajo.</w:t>
      </w:r>
    </w:p>
    <w:p>
      <w:pPr>
        <w:pStyle w:val="ListParagraph"/>
        <w:numPr>
          <w:ilvl w:val="0"/>
          <w:numId w:val="3"/>
        </w:numPr>
        <w:spacing w:after="100"/>
      </w:pPr>
      <w:r>
        <w:rPr>
          <w:sz w:val="21"/>
          <w:szCs w:val="21"/>
        </w:rPr>
        <w:t xml:space="preserve">El robot gantry se desplaza a la posición del feeder, donde el cabezal de torque recoge un tornillo mediante la electroválvula de vacío.</w:t>
      </w:r>
    </w:p>
    <w:p>
      <w:pPr>
        <w:pStyle w:val="ListParagraph"/>
        <w:numPr>
          <w:ilvl w:val="0"/>
          <w:numId w:val="3"/>
        </w:numPr>
        <w:spacing w:after="100"/>
      </w:pPr>
      <w:r>
        <w:rPr>
          <w:sz w:val="21"/>
          <w:szCs w:val="21"/>
        </w:rPr>
        <w:t xml:space="preserve">El gantry traslada el tornillo a la posición de atornillado sobre la pieza y el cabezal de torque realiza el apriete; el slider se reposiciona según se requiera durante el ciclo hasta completar todos los tornillos del ensamble.</w:t>
      </w:r>
    </w:p>
    <w:p>
      <w:pPr>
        <w:pStyle w:val="ListParagraph"/>
        <w:numPr>
          <w:ilvl w:val="0"/>
          <w:numId w:val="3"/>
        </w:numPr>
        <w:spacing w:after="100"/>
      </w:pPr>
      <w:r>
        <w:rPr>
          <w:sz w:val="21"/>
          <w:szCs w:val="21"/>
        </w:rPr>
        <w:t xml:space="preserve">Al finalizar, el slider regresa la pieza a la posición frontal de la máquina y la estación queda en modo de espera para que el operador retire la pieza terminada.</w:t>
      </w:r>
    </w:p>
    <w:p>
      <w:pPr>
        <w:pStyle w:val="ListParagraph"/>
        <w:numPr>
          <w:ilvl w:val="0"/>
          <w:numId w:val="3"/>
        </w:numPr>
        <w:spacing w:after="100"/>
      </w:pPr>
      <w:r>
        <w:rPr>
          <w:sz w:val="21"/>
          <w:szCs w:val="21"/>
        </w:rPr>
        <w:t xml:space="preserve">El operador abre los 2 clamps, retira la pieza y coloca la siguiente, reiniciando el ciclo.</w:t>
      </w:r>
    </w:p>
    <w:tbl>
      <w:tblPr>
        <w:tblW w:type="dxa" w:w="9360"/>
        <w:tblBorders>
          <w:top w:val="single" w:color="C0392B" w:sz="12"/>
          <w:left w:val="single" w:color="C0392B" w:sz="12"/>
          <w:bottom w:val="single" w:color="C0392B" w:sz="12"/>
          <w:right w:val="single" w:color="C0392B" w:sz="12"/>
          <w:insideH w:val="single" w:color="auto" w:sz="4"/>
          <w:insideV w:val="single" w:color="auto" w:sz="4"/>
        </w:tblBorders>
      </w:tblPr>
      <w:tblGrid>
        <w:gridCol w:w="9360"/>
      </w:tblGrid>
      <w:tr>
        <w:tc>
          <w:tcPr>
            <w:tcW w:type="dxa" w:w="9360"/>
            <w:shd w:fill="FBEAEA" w:val="clear"/>
            <w:tcMar>
              <w:top w:type="dxa" w:w="140"/>
              <w:left w:type="dxa" w:w="160"/>
              <w:bottom w:type="dxa" w:w="140"/>
              <w:right w:type="dxa" w:w="160"/>
            </w:tcMar>
          </w:tcPr>
          <w:p>
            <w:r>
              <w:rPr>
                <w:b/>
                <w:bCs/>
                <w:color w:val="C0392B"/>
                <w:sz w:val="21"/>
                <w:szCs w:val="21"/>
              </w:rPr>
              <w:t xml:space="preserve">⚠ Durante el ciclo automático</w:t>
            </w:r>
          </w:p>
          <w:p>
            <w:pPr>
              <w:spacing w:before="60"/>
            </w:pPr>
            <w:r>
              <w:rPr>
                <w:sz w:val="20"/>
                <w:szCs w:val="20"/>
              </w:rPr>
              <w:t xml:space="preserve">No introduzca las manos en el área central mientras el gantry, el slider o el cabezal de torque estén en movimiento. Las 3 cortinas de seguridad detendrán el ciclo si detectan intrusión, pero el operador debe mantenerse fuera del área como práctica estándar.</w:t>
            </w:r>
          </w:p>
        </w:tc>
      </w:tr>
    </w:tbl>
    <w:p>
      <w:pPr>
        <w:pStyle w:val="Heading1"/>
        <w:pBdr>
          <w:bottom w:val="single" w:color="3E7C8C" w:sz="6" w:space="4"/>
        </w:pBdr>
        <w:spacing w:after="200" w:before="400"/>
      </w:pPr>
      <w:r>
        <w:rPr>
          <w:b/>
          <w:bCs/>
          <w:color w:val="2E3A45"/>
          <w:sz w:val="30"/>
          <w:szCs w:val="30"/>
        </w:rPr>
        <w:t xml:space="preserve">7.  Cambio de Fixture</w:t>
      </w:r>
    </w:p>
    <w:p>
      <w:pPr>
        <w:spacing w:after="160" w:line="300"/>
      </w:pPr>
      <w:r>
        <w:rPr>
          <w:sz w:val="21"/>
          <w:szCs w:val="21"/>
        </w:rPr>
        <w:t xml:space="preserve">Cada estación de la serie STTOR utiliza una fixture dedicada al ensamble que procesa. El cambio de fixture (en caso de cambio de producto o mantenimiento) se realiza sobre la mesa de trabajo superior y, en algunas estaciones, incluye también un módulo inferior accesible mediante el cajón corredizo del gabinete.</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66975"/>
                    </a:xfrm>
                    <a:prstGeom prst="rect">
                      <a:avLst/>
                    </a:prstGeom>
                  </pic:spPr>
                </pic:pic>
              </a:graphicData>
            </a:graphic>
          </wp:inline>
        </w:drawing>
      </w:r>
    </w:p>
    <w:p>
      <w:pPr>
        <w:spacing w:after="260" w:before="80"/>
        <w:jc w:val="center"/>
      </w:pPr>
      <w:r>
        <w:rPr>
          <w:i/>
          <w:iCs/>
          <w:color w:val="555555"/>
          <w:sz w:val="18"/>
          <w:szCs w:val="18"/>
        </w:rPr>
        <w:t xml:space="preserve">Figura 3. Zonas de cambio de fixture: módulo superior (área de trabajo) y módulo inferior (cajón corredizo).</w:t>
      </w:r>
    </w:p>
    <w:p>
      <w:pPr>
        <w:pStyle w:val="ListParagraph"/>
        <w:numPr>
          <w:ilvl w:val="0"/>
          <w:numId w:val="3"/>
        </w:numPr>
        <w:spacing w:after="100"/>
      </w:pPr>
      <w:r>
        <w:rPr>
          <w:sz w:val="21"/>
          <w:szCs w:val="21"/>
        </w:rPr>
        <w:t xml:space="preserve">Coloque el switch de llave en modo Mantenimiento y aplique el procedimiento LOTO en el switch general (ver Sección 8).</w:t>
      </w:r>
    </w:p>
    <w:p>
      <w:pPr>
        <w:pStyle w:val="ListParagraph"/>
        <w:numPr>
          <w:ilvl w:val="0"/>
          <w:numId w:val="3"/>
        </w:numPr>
        <w:spacing w:after="100"/>
      </w:pPr>
      <w:r>
        <w:rPr>
          <w:sz w:val="21"/>
          <w:szCs w:val="21"/>
        </w:rPr>
        <w:t xml:space="preserve">Libere los sujetadores de la fixture actual en la mesa de trabajo superior.</w:t>
      </w:r>
    </w:p>
    <w:p>
      <w:pPr>
        <w:pStyle w:val="ListParagraph"/>
        <w:numPr>
          <w:ilvl w:val="0"/>
          <w:numId w:val="3"/>
        </w:numPr>
        <w:spacing w:after="100"/>
      </w:pPr>
      <w:r>
        <w:rPr>
          <w:sz w:val="21"/>
          <w:szCs w:val="21"/>
        </w:rPr>
        <w:t xml:space="preserve">Retire la fixture con cuidado, evitando dañar el cableado o tubería de sensores/vacío conectada.</w:t>
      </w:r>
    </w:p>
    <w:p>
      <w:pPr>
        <w:pStyle w:val="ListParagraph"/>
        <w:numPr>
          <w:ilvl w:val="0"/>
          <w:numId w:val="3"/>
        </w:numPr>
        <w:spacing w:after="100"/>
      </w:pPr>
      <w:r>
        <w:rPr>
          <w:sz w:val="21"/>
          <w:szCs w:val="21"/>
        </w:rPr>
        <w:t xml:space="preserve">Si la estación cuenta con módulo inferior de fixture, extraiga el cajón corredizo para acceder a él.</w:t>
      </w:r>
    </w:p>
    <w:p>
      <w:pPr>
        <w:pStyle w:val="ListParagraph"/>
        <w:numPr>
          <w:ilvl w:val="0"/>
          <w:numId w:val="3"/>
        </w:numPr>
        <w:spacing w:after="100"/>
      </w:pPr>
      <w:r>
        <w:rPr>
          <w:sz w:val="21"/>
          <w:szCs w:val="21"/>
        </w:rPr>
        <w:t xml:space="preserve">Instale la nueva fixture, asegure los sujetadores y reconecte cualquier sensor o línea de vacío.</w:t>
      </w:r>
    </w:p>
    <w:p>
      <w:pPr>
        <w:pStyle w:val="ListParagraph"/>
        <w:numPr>
          <w:ilvl w:val="0"/>
          <w:numId w:val="3"/>
        </w:numPr>
        <w:spacing w:after="100"/>
      </w:pPr>
      <w:r>
        <w:rPr>
          <w:sz w:val="21"/>
          <w:szCs w:val="21"/>
        </w:rPr>
        <w:t xml:space="preserve">Retire el bloqueo LOTO, regrese el switch de llave a modo Automático y verifique el posicionamiento con un ciclo de prueba antes de producción.</w:t>
      </w:r>
    </w:p>
    <w:p>
      <w:pPr>
        <w:pStyle w:val="Heading1"/>
        <w:pBdr>
          <w:bottom w:val="single" w:color="3E7C8C" w:sz="6" w:space="4"/>
        </w:pBdr>
        <w:spacing w:after="200" w:before="400"/>
      </w:pPr>
      <w:r>
        <w:rPr>
          <w:b/>
          <w:bCs/>
          <w:color w:val="2E3A45"/>
          <w:sz w:val="30"/>
          <w:szCs w:val="30"/>
        </w:rPr>
        <w:t xml:space="preserve">8.  Gabinete Eléctrico y Switch General (LOTO)</w:t>
      </w:r>
    </w:p>
    <w:p>
      <w:pPr>
        <w:spacing w:after="160" w:line="300"/>
      </w:pPr>
      <w:r>
        <w:rPr>
          <w:sz w:val="21"/>
          <w:szCs w:val="21"/>
        </w:rPr>
        <w:t xml:space="preserve">El switch general de desconexión se encuentra en la parte inferior lateral de la máquina y es el punto de bloqueo y etiquetado (LOTO) de la estación. Al abrir el gabinete eléctrico inferior, el personal de mantenimiento tiene acceso a la fuente de poder, controlador y cableado principal.</w:t>
      </w:r>
    </w:p>
    <w:p>
      <w:pPr>
        <w:spacing w:after="4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247900"/>
                    </a:xfrm>
                    <a:prstGeom prst="rect">
                      <a:avLst/>
                    </a:prstGeom>
                  </pic:spPr>
                </pic:pic>
              </a:graphicData>
            </a:graphic>
          </wp:inline>
        </w:drawing>
      </w:r>
    </w:p>
    <w:p>
      <w:pPr>
        <w:spacing w:after="260" w:before="80"/>
        <w:jc w:val="center"/>
      </w:pPr>
      <w:r>
        <w:rPr>
          <w:i/>
          <w:iCs/>
          <w:color w:val="555555"/>
          <w:sz w:val="18"/>
          <w:szCs w:val="18"/>
        </w:rPr>
        <w:t xml:space="preserve">Figura 4. Switch general de desconexión (LOTO) y acceso al gabinete eléctrico inferior.</w:t>
      </w:r>
    </w:p>
    <w:tbl>
      <w:tblPr>
        <w:tblW w:type="dxa" w:w="9360"/>
        <w:tblBorders>
          <w:top w:val="single" w:color="C0392B" w:sz="12"/>
          <w:left w:val="single" w:color="C0392B" w:sz="12"/>
          <w:bottom w:val="single" w:color="C0392B" w:sz="12"/>
          <w:right w:val="single" w:color="C0392B" w:sz="12"/>
          <w:insideH w:val="single" w:color="auto" w:sz="4"/>
          <w:insideV w:val="single" w:color="auto" w:sz="4"/>
        </w:tblBorders>
      </w:tblPr>
      <w:tblGrid>
        <w:gridCol w:w="9360"/>
      </w:tblGrid>
      <w:tr>
        <w:tc>
          <w:tcPr>
            <w:tcW w:type="dxa" w:w="9360"/>
            <w:shd w:fill="FBEAEA" w:val="clear"/>
            <w:tcMar>
              <w:top w:type="dxa" w:w="140"/>
              <w:left w:type="dxa" w:w="160"/>
              <w:bottom w:type="dxa" w:w="140"/>
              <w:right w:type="dxa" w:w="160"/>
            </w:tcMar>
          </w:tcPr>
          <w:p>
            <w:r>
              <w:rPr>
                <w:b/>
                <w:bCs/>
                <w:color w:val="C0392B"/>
                <w:sz w:val="21"/>
                <w:szCs w:val="21"/>
              </w:rPr>
              <w:t xml:space="preserve">⚠ Procedimiento LOTO obligatorio</w:t>
            </w:r>
          </w:p>
          <w:p>
            <w:pPr>
              <w:spacing w:before="60"/>
            </w:pPr>
            <w:r>
              <w:rPr>
                <w:sz w:val="20"/>
                <w:szCs w:val="20"/>
              </w:rPr>
              <w:t xml:space="preserve">Antes de abrir el gabinete eléctrico o intervenir cualquier componente interno, gire el switch general a la posición de apagado, coloque candado y tarjeta de bloqueo, y verifique ausencia de energía antes de tocar cualquier componente.</w:t>
            </w:r>
          </w:p>
        </w:tc>
      </w:tr>
    </w:tbl>
    <w:p>
      <w:pPr>
        <w:pStyle w:val="ListParagraph"/>
        <w:numPr>
          <w:ilvl w:val="0"/>
          <w:numId w:val="3"/>
        </w:numPr>
        <w:spacing w:after="100"/>
      </w:pPr>
      <w:r>
        <w:rPr>
          <w:sz w:val="21"/>
          <w:szCs w:val="21"/>
        </w:rPr>
        <w:t xml:space="preserve">Coloque el switch de llave del panel frontal en modo Mantenimiento.</w:t>
      </w:r>
    </w:p>
    <w:p>
      <w:pPr>
        <w:pStyle w:val="ListParagraph"/>
        <w:numPr>
          <w:ilvl w:val="0"/>
          <w:numId w:val="3"/>
        </w:numPr>
        <w:spacing w:after="100"/>
      </w:pPr>
      <w:r>
        <w:rPr>
          <w:sz w:val="21"/>
          <w:szCs w:val="21"/>
        </w:rPr>
        <w:t xml:space="preserve">Gire el switch general (rojo/amarillo) a la posición OFF.</w:t>
      </w:r>
    </w:p>
    <w:p>
      <w:pPr>
        <w:pStyle w:val="ListParagraph"/>
        <w:numPr>
          <w:ilvl w:val="0"/>
          <w:numId w:val="3"/>
        </w:numPr>
        <w:spacing w:after="100"/>
      </w:pPr>
      <w:r>
        <w:rPr>
          <w:sz w:val="21"/>
          <w:szCs w:val="21"/>
        </w:rPr>
        <w:t xml:space="preserve">Coloque su candado personal y tarjeta de bloqueo (LOTO) en el switch general.</w:t>
      </w:r>
    </w:p>
    <w:p>
      <w:pPr>
        <w:pStyle w:val="ListParagraph"/>
        <w:numPr>
          <w:ilvl w:val="0"/>
          <w:numId w:val="3"/>
        </w:numPr>
        <w:spacing w:after="100"/>
      </w:pPr>
      <w:r>
        <w:rPr>
          <w:sz w:val="21"/>
          <w:szCs w:val="21"/>
        </w:rPr>
        <w:t xml:space="preserve">Verifique la ausencia de energía en los puntos de prueba antes de abrir el gabinete.</w:t>
      </w:r>
    </w:p>
    <w:p>
      <w:pPr>
        <w:pStyle w:val="ListParagraph"/>
        <w:numPr>
          <w:ilvl w:val="0"/>
          <w:numId w:val="3"/>
        </w:numPr>
        <w:spacing w:after="100"/>
      </w:pPr>
      <w:r>
        <w:rPr>
          <w:sz w:val="21"/>
          <w:szCs w:val="21"/>
        </w:rPr>
        <w:t xml:space="preserve">Realice la intervención requerida (cambio de motor, eje, cable, revisión de cableado, etc.).</w:t>
      </w:r>
    </w:p>
    <w:p>
      <w:pPr>
        <w:pStyle w:val="ListParagraph"/>
        <w:numPr>
          <w:ilvl w:val="0"/>
          <w:numId w:val="3"/>
        </w:numPr>
        <w:spacing w:after="100"/>
      </w:pPr>
      <w:r>
        <w:rPr>
          <w:sz w:val="21"/>
          <w:szCs w:val="21"/>
        </w:rPr>
        <w:t xml:space="preserve">Al finalizar, retire herramientas, cierre el gabinete, retire su candado/tarjeta y regrese el switch general a la posición ON.</w:t>
      </w:r>
    </w:p>
    <w:p>
      <w:pPr>
        <w:pStyle w:val="Heading1"/>
        <w:pBdr>
          <w:bottom w:val="single" w:color="3E7C8C" w:sz="6" w:space="4"/>
        </w:pBdr>
        <w:spacing w:after="200" w:before="400"/>
      </w:pPr>
      <w:r>
        <w:rPr>
          <w:b/>
          <w:bCs/>
          <w:color w:val="2E3A45"/>
          <w:sz w:val="30"/>
          <w:szCs w:val="30"/>
        </w:rPr>
        <w:t xml:space="preserve">9.  Sistema Neumático (FRL) y Switch Principal</w:t>
      </w:r>
    </w:p>
    <w:p>
      <w:pPr>
        <w:spacing w:after="160" w:line="300"/>
      </w:pPr>
      <w:r>
        <w:rPr>
          <w:sz w:val="21"/>
          <w:szCs w:val="21"/>
        </w:rPr>
        <w:t xml:space="preserve">El sistema neumático de la estación se limita a una línea de baja presión que alimenta la electroválvula de vacío usada para sujetar el tornillo durante su traslado. El conjunto Filtro-Regulador-Lubricador (FRL) acondiciona esta línea antes de la electroválvula.</w:t>
      </w:r>
    </w:p>
    <w:p>
      <w:pPr>
        <w:spacing w:after="4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66975"/>
                    </a:xfrm>
                    <a:prstGeom prst="rect">
                      <a:avLst/>
                    </a:prstGeom>
                  </pic:spPr>
                </pic:pic>
              </a:graphicData>
            </a:graphic>
          </wp:inline>
        </w:drawing>
      </w:r>
    </w:p>
    <w:p>
      <w:pPr>
        <w:spacing w:after="260" w:before="80"/>
        <w:jc w:val="center"/>
      </w:pPr>
      <w:r>
        <w:rPr>
          <w:i/>
          <w:iCs/>
          <w:color w:val="555555"/>
          <w:sz w:val="18"/>
          <w:szCs w:val="18"/>
        </w:rPr>
        <w:t xml:space="preserve">Figura 5. Sistema neumático FRL y switch general de energía, dentro del gabinete inferior.</w:t>
      </w:r>
    </w:p>
    <w:p>
      <w:pPr>
        <w:spacing w:after="160" w:line="300"/>
      </w:pPr>
      <w:r>
        <w:rPr>
          <w:sz w:val="21"/>
          <w:szCs w:val="21"/>
        </w:rPr>
        <w:t xml:space="preserve">Esta estación no utiliza pistones ni actuadores neumáticos de potencia — únicamente succión de vacío de baja presión para la recolección del tornillo. Por esta razón, el riesgo de energía neumática residual es bajo.</w:t>
      </w:r>
    </w:p>
    <w:tbl>
      <w:tblPr>
        <w:tblW w:type="dxa" w:w="9360"/>
        <w:tblBorders>
          <w:top w:val="single" w:color="C0392B" w:sz="12"/>
          <w:left w:val="single" w:color="C0392B" w:sz="12"/>
          <w:bottom w:val="single" w:color="C0392B" w:sz="12"/>
          <w:right w:val="single" w:color="C0392B" w:sz="12"/>
          <w:insideH w:val="single" w:color="auto" w:sz="4"/>
          <w:insideV w:val="single" w:color="auto" w:sz="4"/>
        </w:tblBorders>
      </w:tblPr>
      <w:tblGrid>
        <w:gridCol w:w="9360"/>
      </w:tblGrid>
      <w:tr>
        <w:tc>
          <w:tcPr>
            <w:tcW w:type="dxa" w:w="9360"/>
            <w:shd w:fill="FBEAEA" w:val="clear"/>
            <w:tcMar>
              <w:top w:type="dxa" w:w="140"/>
              <w:left w:type="dxa" w:w="160"/>
              <w:bottom w:type="dxa" w:w="140"/>
              <w:right w:type="dxa" w:w="160"/>
            </w:tcMar>
          </w:tcPr>
          <w:p>
            <w:r>
              <w:rPr>
                <w:b/>
                <w:bCs/>
                <w:color w:val="C0392B"/>
                <w:sz w:val="21"/>
                <w:szCs w:val="21"/>
              </w:rPr>
              <w:t xml:space="preserve">⚠ Nota sobre bloqueo neumático</w:t>
            </w:r>
          </w:p>
          <w:p>
            <w:pPr>
              <w:spacing w:before="60"/>
            </w:pPr>
            <w:r>
              <w:rPr>
                <w:sz w:val="20"/>
                <w:szCs w:val="20"/>
              </w:rPr>
              <w:t xml:space="preserve">Actualmente la estación no cuenta con una válvula de despresurización/bloqueo LOTO dedicada al circuito neumático de vacío; dicho componente se encuentra en proceso de compra. Hasta su instalación, el personal de mantenimiento debe inspeccionar periódicamente el circuito y considerar la posible presión residual de baja magnitud antes de desconectar cualquier línea neumática.</w:t>
            </w:r>
          </w:p>
        </w:tc>
      </w:tr>
    </w:tbl>
    <w:p>
      <w:pPr>
        <w:pStyle w:val="Heading1"/>
        <w:pBdr>
          <w:bottom w:val="single" w:color="3E7C8C" w:sz="6" w:space="4"/>
        </w:pBdr>
        <w:spacing w:after="200" w:before="400"/>
      </w:pPr>
      <w:r>
        <w:rPr>
          <w:b/>
          <w:bCs/>
          <w:color w:val="2E3A45"/>
          <w:sz w:val="30"/>
          <w:szCs w:val="30"/>
        </w:rPr>
        <w:t xml:space="preserve">10.  Modo Mantenimiento</w:t>
      </w:r>
    </w:p>
    <w:p>
      <w:pPr>
        <w:spacing w:after="160" w:line="300"/>
      </w:pPr>
      <w:r>
        <w:rPr>
          <w:sz w:val="21"/>
          <w:szCs w:val="21"/>
        </w:rPr>
        <w:t xml:space="preserve">El modo Mantenimiento se selecciona con el switch de llave del panel frontal y deshabilita el ciclo automático de producción, permitiendo el acceso controlado a la máquina para las siguientes tareas:</w:t>
      </w:r>
    </w:p>
    <w:p>
      <w:pPr>
        <w:pStyle w:val="ListParagraph"/>
        <w:numPr>
          <w:ilvl w:val="0"/>
          <w:numId w:val="2"/>
        </w:numPr>
        <w:spacing w:after="80"/>
      </w:pPr>
      <w:r>
        <w:rPr>
          <w:sz w:val="21"/>
          <w:szCs w:val="21"/>
        </w:rPr>
        <w:t xml:space="preserve">Cambio de motor, eje o cable de alguno de los servomotores (gantry, slider o cabezal de torque).</w:t>
      </w:r>
    </w:p>
    <w:p>
      <w:pPr>
        <w:pStyle w:val="ListParagraph"/>
        <w:numPr>
          <w:ilvl w:val="0"/>
          <w:numId w:val="2"/>
        </w:numPr>
        <w:spacing w:after="80"/>
      </w:pPr>
      <w:r>
        <w:rPr>
          <w:sz w:val="21"/>
          <w:szCs w:val="21"/>
        </w:rPr>
        <w:t xml:space="preserve">Limpieza general de la estación.</w:t>
      </w:r>
    </w:p>
    <w:p>
      <w:pPr>
        <w:pStyle w:val="ListParagraph"/>
        <w:numPr>
          <w:ilvl w:val="0"/>
          <w:numId w:val="2"/>
        </w:numPr>
        <w:spacing w:after="80"/>
      </w:pPr>
      <w:r>
        <w:rPr>
          <w:sz w:val="21"/>
          <w:szCs w:val="21"/>
        </w:rPr>
        <w:t xml:space="preserve">Engrasado de los ejes lineales.</w:t>
      </w:r>
    </w:p>
    <w:p>
      <w:pPr>
        <w:pStyle w:val="ListParagraph"/>
        <w:numPr>
          <w:ilvl w:val="0"/>
          <w:numId w:val="2"/>
        </w:numPr>
        <w:spacing w:after="80"/>
      </w:pPr>
      <w:r>
        <w:rPr>
          <w:sz w:val="21"/>
          <w:szCs w:val="21"/>
        </w:rPr>
        <w:t xml:space="preserve">Calibración del cabezal de torque.</w:t>
      </w:r>
    </w:p>
    <w:p>
      <w:pPr>
        <w:pStyle w:val="ListParagraph"/>
        <w:numPr>
          <w:ilvl w:val="0"/>
          <w:numId w:val="2"/>
        </w:numPr>
        <w:spacing w:after="80"/>
      </w:pPr>
      <w:r>
        <w:rPr>
          <w:sz w:val="21"/>
          <w:szCs w:val="21"/>
        </w:rPr>
        <w:t xml:space="preserve">Cambio de fixture (ver Sección 7).</w:t>
      </w:r>
    </w:p>
    <w:p>
      <w:pPr>
        <w:spacing w:after="160" w:line="300"/>
      </w:pPr>
      <w:r>
        <w:rPr>
          <w:sz w:val="21"/>
          <w:szCs w:val="21"/>
        </w:rPr>
        <w:t xml:space="preserve">Para las tareas que requieren intervenir componentes energizados o partes móviles, aplique siempre el procedimiento de bloqueo y etiquetado (LOTO) descrito en la Sección 8 antes de iniciar el trabajo. Para tareas que no requieren desenergizar la máquina (limpieza externa, inspección visual), basta con colocar el switch de llave en modo Mantenimiento, lo cual deshabilita el ciclo automático de los ejes y mantiene vigente la protección de las cortinas de seguridad como respaldo.</w:t>
      </w:r>
    </w:p>
    <w:p>
      <w:pPr>
        <w:pStyle w:val="Heading1"/>
        <w:pBdr>
          <w:bottom w:val="single" w:color="3E7C8C" w:sz="6" w:space="4"/>
        </w:pBdr>
        <w:spacing w:after="200" w:before="400"/>
      </w:pPr>
      <w:r>
        <w:rPr>
          <w:b/>
          <w:bCs/>
          <w:color w:val="2E3A45"/>
          <w:sz w:val="30"/>
          <w:szCs w:val="30"/>
        </w:rPr>
        <w:t xml:space="preserve">11.  Mantenimiento Preventivo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2800"/>
        <w:gridCol w:w="2760"/>
      </w:tblGrid>
      <w:tr>
        <w:trPr>
          <w:tblHeader/>
        </w:trPr>
        <w:tc>
          <w:tcPr>
            <w:tcW w:type="dxa" w:w="3800"/>
            <w:shd w:fill="2E3A45" w:val="clear"/>
            <w:tcMar>
              <w:top w:type="dxa" w:w="90"/>
              <w:left w:type="dxa" w:w="120"/>
              <w:bottom w:type="dxa" w:w="90"/>
              <w:right w:type="dxa" w:w="120"/>
            </w:tcMar>
            <w:vAlign w:val="center"/>
          </w:tcPr>
          <w:p>
            <w:r>
              <w:rPr>
                <w:b/>
                <w:bCs/>
                <w:color w:val="FFFFFF"/>
                <w:sz w:val="19"/>
                <w:szCs w:val="19"/>
              </w:rPr>
              <w:t xml:space="preserve">Tarea</w:t>
            </w:r>
          </w:p>
        </w:tc>
        <w:tc>
          <w:tcPr>
            <w:tcW w:type="dxa" w:w="2800"/>
            <w:shd w:fill="2E3A45" w:val="clear"/>
            <w:tcMar>
              <w:top w:type="dxa" w:w="90"/>
              <w:left w:type="dxa" w:w="120"/>
              <w:bottom w:type="dxa" w:w="90"/>
              <w:right w:type="dxa" w:w="120"/>
            </w:tcMar>
            <w:vAlign w:val="center"/>
          </w:tcPr>
          <w:p>
            <w:r>
              <w:rPr>
                <w:b/>
                <w:bCs/>
                <w:color w:val="FFFFFF"/>
                <w:sz w:val="19"/>
                <w:szCs w:val="19"/>
              </w:rPr>
              <w:t xml:space="preserve">Frecuencia</w:t>
            </w:r>
          </w:p>
        </w:tc>
        <w:tc>
          <w:tcPr>
            <w:tcW w:type="dxa" w:w="2760"/>
            <w:shd w:fill="2E3A45" w:val="clear"/>
            <w:tcMar>
              <w:top w:type="dxa" w:w="90"/>
              <w:left w:type="dxa" w:w="120"/>
              <w:bottom w:type="dxa" w:w="90"/>
              <w:right w:type="dxa" w:w="120"/>
            </w:tcMar>
            <w:vAlign w:val="center"/>
          </w:tcPr>
          <w:p>
            <w:r>
              <w:rPr>
                <w:b/>
                <w:bCs/>
                <w:color w:val="FFFFFF"/>
                <w:sz w:val="19"/>
                <w:szCs w:val="19"/>
              </w:rPr>
              <w:t xml:space="preserve">Notas</w:t>
            </w:r>
          </w:p>
        </w:tc>
      </w:tr>
      <w:tr>
        <w:tc>
          <w:tcPr>
            <w:tcW w:type="dxa" w:w="3800"/>
            <w:shd w:fill="FFFFFF" w:val="clear"/>
            <w:tcMar>
              <w:top w:type="dxa" w:w="80"/>
              <w:left w:type="dxa" w:w="120"/>
              <w:bottom w:type="dxa" w:w="80"/>
              <w:right w:type="dxa" w:w="120"/>
            </w:tcMar>
            <w:vAlign w:val="center"/>
          </w:tcPr>
          <w:p>
            <w:r>
              <w:rPr>
                <w:sz w:val="19"/>
                <w:szCs w:val="19"/>
              </w:rPr>
              <w:t xml:space="preserve">Inspección visual de cortinas de seguridad y E-Stop</w:t>
            </w:r>
          </w:p>
        </w:tc>
        <w:tc>
          <w:tcPr>
            <w:tcW w:type="dxa" w:w="2800"/>
            <w:shd w:fill="FFFFFF" w:val="clear"/>
            <w:tcMar>
              <w:top w:type="dxa" w:w="80"/>
              <w:left w:type="dxa" w:w="120"/>
              <w:bottom w:type="dxa" w:w="80"/>
              <w:right w:type="dxa" w:w="120"/>
            </w:tcMar>
            <w:vAlign w:val="center"/>
          </w:tcPr>
          <w:p>
            <w:r>
              <w:rPr>
                <w:sz w:val="19"/>
                <w:szCs w:val="19"/>
              </w:rPr>
              <w:t xml:space="preserve">Diario (inicio de turno)</w:t>
            </w:r>
          </w:p>
        </w:tc>
        <w:tc>
          <w:tcPr>
            <w:tcW w:type="dxa" w:w="2760"/>
            <w:shd w:fill="FFFFFF" w:val="clear"/>
            <w:tcMar>
              <w:top w:type="dxa" w:w="80"/>
              <w:left w:type="dxa" w:w="120"/>
              <w:bottom w:type="dxa" w:w="80"/>
              <w:right w:type="dxa" w:w="120"/>
            </w:tcMar>
            <w:vAlign w:val="center"/>
          </w:tcPr>
          <w:p>
            <w:r>
              <w:rPr>
                <w:sz w:val="19"/>
                <w:szCs w:val="19"/>
              </w:rPr>
              <w:t xml:space="preserve">Verificar respuesta correcta antes de producción.</w:t>
            </w:r>
          </w:p>
        </w:tc>
      </w:tr>
      <w:tr>
        <w:tc>
          <w:tcPr>
            <w:tcW w:type="dxa" w:w="3800"/>
            <w:shd w:fill="F2F2F2" w:val="clear"/>
            <w:tcMar>
              <w:top w:type="dxa" w:w="80"/>
              <w:left w:type="dxa" w:w="120"/>
              <w:bottom w:type="dxa" w:w="80"/>
              <w:right w:type="dxa" w:w="120"/>
            </w:tcMar>
            <w:vAlign w:val="center"/>
          </w:tcPr>
          <w:p>
            <w:r>
              <w:rPr>
                <w:sz w:val="19"/>
                <w:szCs w:val="19"/>
              </w:rPr>
              <w:t xml:space="preserve">Limpieza general de la estación</w:t>
            </w:r>
          </w:p>
        </w:tc>
        <w:tc>
          <w:tcPr>
            <w:tcW w:type="dxa" w:w="2800"/>
            <w:shd w:fill="F2F2F2" w:val="clear"/>
            <w:tcMar>
              <w:top w:type="dxa" w:w="80"/>
              <w:left w:type="dxa" w:w="120"/>
              <w:bottom w:type="dxa" w:w="80"/>
              <w:right w:type="dxa" w:w="120"/>
            </w:tcMar>
            <w:vAlign w:val="center"/>
          </w:tcPr>
          <w:p>
            <w:r>
              <w:rPr>
                <w:sz w:val="19"/>
                <w:szCs w:val="19"/>
              </w:rPr>
              <w:t xml:space="preserve">Semanal</w:t>
            </w:r>
          </w:p>
        </w:tc>
        <w:tc>
          <w:tcPr>
            <w:tcW w:type="dxa" w:w="2760"/>
            <w:shd w:fill="F2F2F2" w:val="clear"/>
            <w:tcMar>
              <w:top w:type="dxa" w:w="80"/>
              <w:left w:type="dxa" w:w="120"/>
              <w:bottom w:type="dxa" w:w="80"/>
              <w:right w:type="dxa" w:w="120"/>
            </w:tcMar>
            <w:vAlign w:val="center"/>
          </w:tcPr>
          <w:p>
            <w:r>
              <w:rPr>
                <w:sz w:val="19"/>
                <w:szCs w:val="19"/>
              </w:rPr>
              <w:t xml:space="preserve">Retirar polvo/residuos del área de trabajo y fixture.</w:t>
            </w:r>
          </w:p>
        </w:tc>
      </w:tr>
      <w:tr>
        <w:tc>
          <w:tcPr>
            <w:tcW w:type="dxa" w:w="3800"/>
            <w:shd w:fill="FFFFFF" w:val="clear"/>
            <w:tcMar>
              <w:top w:type="dxa" w:w="80"/>
              <w:left w:type="dxa" w:w="120"/>
              <w:bottom w:type="dxa" w:w="80"/>
              <w:right w:type="dxa" w:w="120"/>
            </w:tcMar>
            <w:vAlign w:val="center"/>
          </w:tcPr>
          <w:p>
            <w:r>
              <w:rPr>
                <w:sz w:val="19"/>
                <w:szCs w:val="19"/>
              </w:rPr>
              <w:t xml:space="preserve">Engrasado de ejes lineales (gantry y slider)</w:t>
            </w:r>
          </w:p>
        </w:tc>
        <w:tc>
          <w:tcPr>
            <w:tcW w:type="dxa" w:w="2800"/>
            <w:shd w:fill="FFFFFF" w:val="clear"/>
            <w:tcMar>
              <w:top w:type="dxa" w:w="80"/>
              <w:left w:type="dxa" w:w="120"/>
              <w:bottom w:type="dxa" w:w="80"/>
              <w:right w:type="dxa" w:w="120"/>
            </w:tcMar>
            <w:vAlign w:val="center"/>
          </w:tcPr>
          <w:p>
            <w:r>
              <w:rPr>
                <w:sz w:val="19"/>
                <w:szCs w:val="19"/>
              </w:rPr>
              <w:t xml:space="preserve">Según programa de lubricación</w:t>
            </w:r>
          </w:p>
        </w:tc>
        <w:tc>
          <w:tcPr>
            <w:tcW w:type="dxa" w:w="2760"/>
            <w:shd w:fill="FFFFFF" w:val="clear"/>
            <w:tcMar>
              <w:top w:type="dxa" w:w="80"/>
              <w:left w:type="dxa" w:w="120"/>
              <w:bottom w:type="dxa" w:w="80"/>
              <w:right w:type="dxa" w:w="120"/>
            </w:tcMar>
            <w:vAlign w:val="center"/>
          </w:tcPr>
          <w:p>
            <w:r>
              <w:rPr>
                <w:sz w:val="19"/>
                <w:szCs w:val="19"/>
              </w:rPr>
              <w:t xml:space="preserve">Aplicar LOTO antes de intervenir.</w:t>
            </w:r>
          </w:p>
        </w:tc>
      </w:tr>
      <w:tr>
        <w:tc>
          <w:tcPr>
            <w:tcW w:type="dxa" w:w="3800"/>
            <w:shd w:fill="F2F2F2" w:val="clear"/>
            <w:tcMar>
              <w:top w:type="dxa" w:w="80"/>
              <w:left w:type="dxa" w:w="120"/>
              <w:bottom w:type="dxa" w:w="80"/>
              <w:right w:type="dxa" w:w="120"/>
            </w:tcMar>
            <w:vAlign w:val="center"/>
          </w:tcPr>
          <w:p>
            <w:r>
              <w:rPr>
                <w:sz w:val="19"/>
                <w:szCs w:val="19"/>
              </w:rPr>
              <w:t xml:space="preserve">Calibración del cabezal de torque</w:t>
            </w:r>
          </w:p>
        </w:tc>
        <w:tc>
          <w:tcPr>
            <w:tcW w:type="dxa" w:w="2800"/>
            <w:shd w:fill="F2F2F2" w:val="clear"/>
            <w:tcMar>
              <w:top w:type="dxa" w:w="80"/>
              <w:left w:type="dxa" w:w="120"/>
              <w:bottom w:type="dxa" w:w="80"/>
              <w:right w:type="dxa" w:w="120"/>
            </w:tcMar>
            <w:vAlign w:val="center"/>
          </w:tcPr>
          <w:p>
            <w:r>
              <w:rPr>
                <w:sz w:val="19"/>
                <w:szCs w:val="19"/>
              </w:rPr>
              <w:t xml:space="preserve">Según programa de calidad</w:t>
            </w:r>
          </w:p>
        </w:tc>
        <w:tc>
          <w:tcPr>
            <w:tcW w:type="dxa" w:w="2760"/>
            <w:shd w:fill="F2F2F2" w:val="clear"/>
            <w:tcMar>
              <w:top w:type="dxa" w:w="80"/>
              <w:left w:type="dxa" w:w="120"/>
              <w:bottom w:type="dxa" w:w="80"/>
              <w:right w:type="dxa" w:w="120"/>
            </w:tcMar>
            <w:vAlign w:val="center"/>
          </w:tcPr>
          <w:p>
            <w:r>
              <w:rPr>
                <w:sz w:val="19"/>
                <w:szCs w:val="19"/>
              </w:rPr>
              <w:t xml:space="preserve">Registrar valores en bitácora de calibración.</w:t>
            </w:r>
          </w:p>
        </w:tc>
      </w:tr>
      <w:tr>
        <w:tc>
          <w:tcPr>
            <w:tcW w:type="dxa" w:w="3800"/>
            <w:shd w:fill="FFFFFF" w:val="clear"/>
            <w:tcMar>
              <w:top w:type="dxa" w:w="80"/>
              <w:left w:type="dxa" w:w="120"/>
              <w:bottom w:type="dxa" w:w="80"/>
              <w:right w:type="dxa" w:w="120"/>
            </w:tcMar>
            <w:vAlign w:val="center"/>
          </w:tcPr>
          <w:p>
            <w:r>
              <w:rPr>
                <w:sz w:val="19"/>
                <w:szCs w:val="19"/>
              </w:rPr>
              <w:t xml:space="preserve">Inspección del circuito neumático de vacío</w:t>
            </w:r>
          </w:p>
        </w:tc>
        <w:tc>
          <w:tcPr>
            <w:tcW w:type="dxa" w:w="2800"/>
            <w:shd w:fill="FFFFFF" w:val="clear"/>
            <w:tcMar>
              <w:top w:type="dxa" w:w="80"/>
              <w:left w:type="dxa" w:w="120"/>
              <w:bottom w:type="dxa" w:w="80"/>
              <w:right w:type="dxa" w:w="120"/>
            </w:tcMar>
            <w:vAlign w:val="center"/>
          </w:tcPr>
          <w:p>
            <w:r>
              <w:rPr>
                <w:sz w:val="19"/>
                <w:szCs w:val="19"/>
              </w:rPr>
              <w:t xml:space="preserve">Semanal (mientras no exista válvula LOTO neumática)</w:t>
            </w:r>
          </w:p>
        </w:tc>
        <w:tc>
          <w:tcPr>
            <w:tcW w:type="dxa" w:w="2760"/>
            <w:shd w:fill="FFFFFF" w:val="clear"/>
            <w:tcMar>
              <w:top w:type="dxa" w:w="80"/>
              <w:left w:type="dxa" w:w="120"/>
              <w:bottom w:type="dxa" w:w="80"/>
              <w:right w:type="dxa" w:w="120"/>
            </w:tcMar>
            <w:vAlign w:val="center"/>
          </w:tcPr>
          <w:p>
            <w:r>
              <w:rPr>
                <w:sz w:val="19"/>
                <w:szCs w:val="19"/>
              </w:rPr>
              <w:t xml:space="preserve">Revisar fugas y estado de mangueras.</w:t>
            </w:r>
          </w:p>
        </w:tc>
      </w:tr>
      <w:tr>
        <w:tc>
          <w:tcPr>
            <w:tcW w:type="dxa" w:w="3800"/>
            <w:shd w:fill="F2F2F2" w:val="clear"/>
            <w:tcMar>
              <w:top w:type="dxa" w:w="80"/>
              <w:left w:type="dxa" w:w="120"/>
              <w:bottom w:type="dxa" w:w="80"/>
              <w:right w:type="dxa" w:w="120"/>
            </w:tcMar>
            <w:vAlign w:val="center"/>
          </w:tcPr>
          <w:p>
            <w:r>
              <w:rPr>
                <w:sz w:val="19"/>
                <w:szCs w:val="19"/>
              </w:rPr>
              <w:t xml:space="preserve">Revisión de cableado y conexiones del gabinete eléctrico</w:t>
            </w:r>
          </w:p>
        </w:tc>
        <w:tc>
          <w:tcPr>
            <w:tcW w:type="dxa" w:w="2800"/>
            <w:shd w:fill="F2F2F2" w:val="clear"/>
            <w:tcMar>
              <w:top w:type="dxa" w:w="80"/>
              <w:left w:type="dxa" w:w="120"/>
              <w:bottom w:type="dxa" w:w="80"/>
              <w:right w:type="dxa" w:w="120"/>
            </w:tcMar>
            <w:vAlign w:val="center"/>
          </w:tcPr>
          <w:p>
            <w:r>
              <w:rPr>
                <w:sz w:val="19"/>
                <w:szCs w:val="19"/>
              </w:rPr>
              <w:t xml:space="preserve">Mensual</w:t>
            </w:r>
          </w:p>
        </w:tc>
        <w:tc>
          <w:tcPr>
            <w:tcW w:type="dxa" w:w="2760"/>
            <w:shd w:fill="F2F2F2" w:val="clear"/>
            <w:tcMar>
              <w:top w:type="dxa" w:w="80"/>
              <w:left w:type="dxa" w:w="120"/>
              <w:bottom w:type="dxa" w:w="80"/>
              <w:right w:type="dxa" w:w="120"/>
            </w:tcMar>
            <w:vAlign w:val="center"/>
          </w:tcPr>
          <w:p>
            <w:r>
              <w:rPr>
                <w:sz w:val="19"/>
                <w:szCs w:val="19"/>
              </w:rPr>
              <w:t xml:space="preserve">Aplicar LOTO antes de abrir el gabinete.</w:t>
            </w:r>
          </w:p>
        </w:tc>
      </w:tr>
    </w:tbl>
    <w:p>
      <w:pPr>
        <w:pStyle w:val="Heading1"/>
        <w:pBdr>
          <w:bottom w:val="single" w:color="3E7C8C" w:sz="6" w:space="4"/>
        </w:pBdr>
        <w:spacing w:after="200" w:before="400"/>
      </w:pPr>
      <w:r>
        <w:rPr>
          <w:b/>
          <w:bCs/>
          <w:color w:val="2E3A45"/>
          <w:sz w:val="30"/>
          <w:szCs w:val="30"/>
        </w:rPr>
        <w:t xml:space="preserve">12.  Solución de Problemas Básica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200"/>
        <w:gridCol w:w="2960"/>
      </w:tblGrid>
      <w:tr>
        <w:trPr>
          <w:tblHeader/>
        </w:trPr>
        <w:tc>
          <w:tcPr>
            <w:tcW w:type="dxa" w:w="3200"/>
            <w:shd w:fill="2E3A45" w:val="clear"/>
            <w:tcMar>
              <w:top w:type="dxa" w:w="90"/>
              <w:left w:type="dxa" w:w="120"/>
              <w:bottom w:type="dxa" w:w="90"/>
              <w:right w:type="dxa" w:w="120"/>
            </w:tcMar>
            <w:vAlign w:val="center"/>
          </w:tcPr>
          <w:p>
            <w:r>
              <w:rPr>
                <w:b/>
                <w:bCs/>
                <w:color w:val="FFFFFF"/>
                <w:sz w:val="19"/>
                <w:szCs w:val="19"/>
              </w:rPr>
              <w:t xml:space="preserve">Síntoma</w:t>
            </w:r>
          </w:p>
        </w:tc>
        <w:tc>
          <w:tcPr>
            <w:tcW w:type="dxa" w:w="3200"/>
            <w:shd w:fill="2E3A45" w:val="clear"/>
            <w:tcMar>
              <w:top w:type="dxa" w:w="90"/>
              <w:left w:type="dxa" w:w="120"/>
              <w:bottom w:type="dxa" w:w="90"/>
              <w:right w:type="dxa" w:w="120"/>
            </w:tcMar>
            <w:vAlign w:val="center"/>
          </w:tcPr>
          <w:p>
            <w:r>
              <w:rPr>
                <w:b/>
                <w:bCs/>
                <w:color w:val="FFFFFF"/>
                <w:sz w:val="19"/>
                <w:szCs w:val="19"/>
              </w:rPr>
              <w:t xml:space="preserve">Posible causa</w:t>
            </w:r>
          </w:p>
        </w:tc>
        <w:tc>
          <w:tcPr>
            <w:tcW w:type="dxa" w:w="2960"/>
            <w:shd w:fill="2E3A45" w:val="clear"/>
            <w:tcMar>
              <w:top w:type="dxa" w:w="90"/>
              <w:left w:type="dxa" w:w="120"/>
              <w:bottom w:type="dxa" w:w="90"/>
              <w:right w:type="dxa" w:w="120"/>
            </w:tcMar>
            <w:vAlign w:val="center"/>
          </w:tcPr>
          <w:p>
            <w:r>
              <w:rPr>
                <w:b/>
                <w:bCs/>
                <w:color w:val="FFFFFF"/>
                <w:sz w:val="19"/>
                <w:szCs w:val="19"/>
              </w:rPr>
              <w:t xml:space="preserve">Acción</w:t>
            </w:r>
          </w:p>
        </w:tc>
      </w:tr>
      <w:tr>
        <w:tc>
          <w:tcPr>
            <w:tcW w:type="dxa" w:w="3200"/>
            <w:shd w:fill="FFFFFF" w:val="clear"/>
            <w:tcMar>
              <w:top w:type="dxa" w:w="80"/>
              <w:left w:type="dxa" w:w="120"/>
              <w:bottom w:type="dxa" w:w="80"/>
              <w:right w:type="dxa" w:w="120"/>
            </w:tcMar>
            <w:vAlign w:val="center"/>
          </w:tcPr>
          <w:p>
            <w:r>
              <w:rPr>
                <w:sz w:val="19"/>
                <w:szCs w:val="19"/>
              </w:rPr>
              <w:t xml:space="preserve">La máquina no arranca</w:t>
            </w:r>
          </w:p>
        </w:tc>
        <w:tc>
          <w:tcPr>
            <w:tcW w:type="dxa" w:w="3200"/>
            <w:shd w:fill="FFFFFF" w:val="clear"/>
            <w:tcMar>
              <w:top w:type="dxa" w:w="80"/>
              <w:left w:type="dxa" w:w="120"/>
              <w:bottom w:type="dxa" w:w="80"/>
              <w:right w:type="dxa" w:w="120"/>
            </w:tcMar>
            <w:vAlign w:val="center"/>
          </w:tcPr>
          <w:p>
            <w:r>
              <w:rPr>
                <w:sz w:val="19"/>
                <w:szCs w:val="19"/>
              </w:rPr>
              <w:t xml:space="preserve">E-Stop presionado o switch de llave en modo Mantenimiento</w:t>
            </w:r>
          </w:p>
        </w:tc>
        <w:tc>
          <w:tcPr>
            <w:tcW w:type="dxa" w:w="2960"/>
            <w:shd w:fill="FFFFFF" w:val="clear"/>
            <w:tcMar>
              <w:top w:type="dxa" w:w="80"/>
              <w:left w:type="dxa" w:w="120"/>
              <w:bottom w:type="dxa" w:w="80"/>
              <w:right w:type="dxa" w:w="120"/>
            </w:tcMar>
            <w:vAlign w:val="center"/>
          </w:tcPr>
          <w:p>
            <w:r>
              <w:rPr>
                <w:sz w:val="19"/>
                <w:szCs w:val="19"/>
              </w:rPr>
              <w:t xml:space="preserve">Libere el E-Stop y confirme el switch de llave en modo Automático; presione reset.</w:t>
            </w:r>
          </w:p>
        </w:tc>
      </w:tr>
      <w:tr>
        <w:tc>
          <w:tcPr>
            <w:tcW w:type="dxa" w:w="3200"/>
            <w:shd w:fill="F2F2F2" w:val="clear"/>
            <w:tcMar>
              <w:top w:type="dxa" w:w="80"/>
              <w:left w:type="dxa" w:w="120"/>
              <w:bottom w:type="dxa" w:w="80"/>
              <w:right w:type="dxa" w:w="120"/>
            </w:tcMar>
            <w:vAlign w:val="center"/>
          </w:tcPr>
          <w:p>
            <w:r>
              <w:rPr>
                <w:sz w:val="19"/>
                <w:szCs w:val="19"/>
              </w:rPr>
              <w:t xml:space="preserve">El ciclo se detiene al iniciar</w:t>
            </w:r>
          </w:p>
        </w:tc>
        <w:tc>
          <w:tcPr>
            <w:tcW w:type="dxa" w:w="3200"/>
            <w:shd w:fill="F2F2F2" w:val="clear"/>
            <w:tcMar>
              <w:top w:type="dxa" w:w="80"/>
              <w:left w:type="dxa" w:w="120"/>
              <w:bottom w:type="dxa" w:w="80"/>
              <w:right w:type="dxa" w:w="120"/>
            </w:tcMar>
            <w:vAlign w:val="center"/>
          </w:tcPr>
          <w:p>
            <w:r>
              <w:rPr>
                <w:sz w:val="19"/>
                <w:szCs w:val="19"/>
              </w:rPr>
              <w:t xml:space="preserve">Cortina de seguridad interrumpida</w:t>
            </w:r>
          </w:p>
        </w:tc>
        <w:tc>
          <w:tcPr>
            <w:tcW w:type="dxa" w:w="2960"/>
            <w:shd w:fill="F2F2F2" w:val="clear"/>
            <w:tcMar>
              <w:top w:type="dxa" w:w="80"/>
              <w:left w:type="dxa" w:w="120"/>
              <w:bottom w:type="dxa" w:w="80"/>
              <w:right w:type="dxa" w:w="120"/>
            </w:tcMar>
            <w:vAlign w:val="center"/>
          </w:tcPr>
          <w:p>
            <w:r>
              <w:rPr>
                <w:sz w:val="19"/>
                <w:szCs w:val="19"/>
              </w:rPr>
              <w:t xml:space="preserve">Retire cualquier obstrucción del área central y presione reset.</w:t>
            </w:r>
          </w:p>
        </w:tc>
      </w:tr>
      <w:tr>
        <w:tc>
          <w:tcPr>
            <w:tcW w:type="dxa" w:w="3200"/>
            <w:shd w:fill="FFFFFF" w:val="clear"/>
            <w:tcMar>
              <w:top w:type="dxa" w:w="80"/>
              <w:left w:type="dxa" w:w="120"/>
              <w:bottom w:type="dxa" w:w="80"/>
              <w:right w:type="dxa" w:w="120"/>
            </w:tcMar>
            <w:vAlign w:val="center"/>
          </w:tcPr>
          <w:p>
            <w:r>
              <w:rPr>
                <w:sz w:val="19"/>
                <w:szCs w:val="19"/>
              </w:rPr>
              <w:t xml:space="preserve">Error de recolección de tornillo</w:t>
            </w:r>
          </w:p>
        </w:tc>
        <w:tc>
          <w:tcPr>
            <w:tcW w:type="dxa" w:w="3200"/>
            <w:shd w:fill="FFFFFF" w:val="clear"/>
            <w:tcMar>
              <w:top w:type="dxa" w:w="80"/>
              <w:left w:type="dxa" w:w="120"/>
              <w:bottom w:type="dxa" w:w="80"/>
              <w:right w:type="dxa" w:w="120"/>
            </w:tcMar>
            <w:vAlign w:val="center"/>
          </w:tcPr>
          <w:p>
            <w:r>
              <w:rPr>
                <w:sz w:val="19"/>
                <w:szCs w:val="19"/>
              </w:rPr>
              <w:t xml:space="preserve">Baja presión de vacío o feeder sin tornillos</w:t>
            </w:r>
          </w:p>
        </w:tc>
        <w:tc>
          <w:tcPr>
            <w:tcW w:type="dxa" w:w="2960"/>
            <w:shd w:fill="FFFFFF" w:val="clear"/>
            <w:tcMar>
              <w:top w:type="dxa" w:w="80"/>
              <w:left w:type="dxa" w:w="120"/>
              <w:bottom w:type="dxa" w:w="80"/>
              <w:right w:type="dxa" w:w="120"/>
            </w:tcMar>
            <w:vAlign w:val="center"/>
          </w:tcPr>
          <w:p>
            <w:r>
              <w:rPr>
                <w:sz w:val="19"/>
                <w:szCs w:val="19"/>
              </w:rPr>
              <w:t xml:space="preserve">Verifique el sistema FRL y reabastezca el feeder.</w:t>
            </w:r>
          </w:p>
        </w:tc>
      </w:tr>
      <w:tr>
        <w:tc>
          <w:tcPr>
            <w:tcW w:type="dxa" w:w="3200"/>
            <w:shd w:fill="F2F2F2" w:val="clear"/>
            <w:tcMar>
              <w:top w:type="dxa" w:w="80"/>
              <w:left w:type="dxa" w:w="120"/>
              <w:bottom w:type="dxa" w:w="80"/>
              <w:right w:type="dxa" w:w="120"/>
            </w:tcMar>
            <w:vAlign w:val="center"/>
          </w:tcPr>
          <w:p>
            <w:r>
              <w:rPr>
                <w:sz w:val="19"/>
                <w:szCs w:val="19"/>
              </w:rPr>
              <w:t xml:space="preserve">Par de apriete fuera de tolerancia</w:t>
            </w:r>
          </w:p>
        </w:tc>
        <w:tc>
          <w:tcPr>
            <w:tcW w:type="dxa" w:w="3200"/>
            <w:shd w:fill="F2F2F2" w:val="clear"/>
            <w:tcMar>
              <w:top w:type="dxa" w:w="80"/>
              <w:left w:type="dxa" w:w="120"/>
              <w:bottom w:type="dxa" w:w="80"/>
              <w:right w:type="dxa" w:w="120"/>
            </w:tcMar>
            <w:vAlign w:val="center"/>
          </w:tcPr>
          <w:p>
            <w:r>
              <w:rPr>
                <w:sz w:val="19"/>
                <w:szCs w:val="19"/>
              </w:rPr>
              <w:t xml:space="preserve">Cabezal de torque descalibrado</w:t>
            </w:r>
          </w:p>
        </w:tc>
        <w:tc>
          <w:tcPr>
            <w:tcW w:type="dxa" w:w="2960"/>
            <w:shd w:fill="F2F2F2" w:val="clear"/>
            <w:tcMar>
              <w:top w:type="dxa" w:w="80"/>
              <w:left w:type="dxa" w:w="120"/>
              <w:bottom w:type="dxa" w:w="80"/>
              <w:right w:type="dxa" w:w="120"/>
            </w:tcMar>
            <w:vAlign w:val="center"/>
          </w:tcPr>
          <w:p>
            <w:r>
              <w:rPr>
                <w:sz w:val="19"/>
                <w:szCs w:val="19"/>
              </w:rPr>
              <w:t xml:space="preserve">Suspenda producción y notifique a mantenimiento para recalibración.</w:t>
            </w:r>
          </w:p>
        </w:tc>
      </w:tr>
    </w:tbl>
    <w:p>
      <w:pPr>
        <w:spacing w:after="160" w:line="300"/>
      </w:pPr>
      <w:r>
        <w:rPr>
          <w:sz w:val="21"/>
          <w:szCs w:val="21"/>
        </w:rPr>
        <w:t xml:space="preserve">Si el problema persiste después de estas verificaciones, notifique al equipo de mantenimiento de Jabil o contacte al soporte técnico de ITO GROUP.</w:t>
      </w:r>
    </w:p>
    <w:p>
      <w:pPr>
        <w:pStyle w:val="Heading1"/>
        <w:pBdr>
          <w:bottom w:val="single" w:color="3E7C8C" w:sz="6" w:space="4"/>
        </w:pBdr>
        <w:spacing w:after="200" w:before="400"/>
      </w:pPr>
      <w:r>
        <w:rPr>
          <w:b/>
          <w:bCs/>
          <w:color w:val="2E3A45"/>
          <w:sz w:val="30"/>
          <w:szCs w:val="30"/>
        </w:rPr>
        <w:t xml:space="preserve">13.  Garantía y Contacto del Proveedor</w:t>
      </w:r>
    </w:p>
    <w:p>
      <w:pPr>
        <w:spacing w:after="160" w:line="300"/>
      </w:pPr>
      <w:r>
        <w:rPr>
          <w:sz w:val="21"/>
          <w:szCs w:val="21"/>
        </w:rPr>
        <w:t xml:space="preserve">Para soporte técnico, refacciones o consultas sobre garantía de esta estación, contacte a ITO GROUP a través del canal de soporte asignado al proyecto.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c>
          <w:tcPr>
            <w:tcW w:type="dxa" w:w="3200"/>
            <w:shd w:fill="F2F2F2" w:val="clear"/>
            <w:tcMar>
              <w:top w:type="dxa" w:w="100"/>
              <w:left w:type="dxa" w:w="140"/>
              <w:bottom w:type="dxa" w:w="100"/>
              <w:right w:type="dxa" w:w="140"/>
            </w:tcMar>
            <w:vAlign w:val="center"/>
          </w:tcPr>
          <w:p>
            <w:r>
              <w:rPr>
                <w:b/>
                <w:bCs/>
                <w:sz w:val="20"/>
                <w:szCs w:val="20"/>
              </w:rPr>
              <w:t xml:space="preserve">Proveedor</w:t>
            </w:r>
          </w:p>
        </w:tc>
        <w:tc>
          <w:tcPr>
            <w:tcW w:type="dxa" w:w="6160"/>
            <w:tcMar>
              <w:top w:type="dxa" w:w="100"/>
              <w:left w:type="dxa" w:w="140"/>
              <w:bottom w:type="dxa" w:w="100"/>
              <w:right w:type="dxa" w:w="140"/>
            </w:tcMar>
            <w:vAlign w:val="center"/>
          </w:tcPr>
          <w:p>
            <w:r>
              <w:rPr>
                <w:sz w:val="20"/>
                <w:szCs w:val="20"/>
              </w:rPr>
              <w:t xml:space="preserve">ITO GROUP</w:t>
            </w:r>
          </w:p>
        </w:tc>
      </w:tr>
      <w:tr>
        <w:tc>
          <w:tcPr>
            <w:tcW w:type="dxa" w:w="3200"/>
            <w:shd w:fill="F2F2F2" w:val="clear"/>
            <w:tcMar>
              <w:top w:type="dxa" w:w="100"/>
              <w:left w:type="dxa" w:w="140"/>
              <w:bottom w:type="dxa" w:w="100"/>
              <w:right w:type="dxa" w:w="140"/>
            </w:tcMar>
            <w:vAlign w:val="center"/>
          </w:tcPr>
          <w:p>
            <w:r>
              <w:rPr>
                <w:b/>
                <w:bCs/>
                <w:sz w:val="20"/>
                <w:szCs w:val="20"/>
              </w:rPr>
              <w:t xml:space="preserve">Equipo</w:t>
            </w:r>
          </w:p>
        </w:tc>
        <w:tc>
          <w:tcPr>
            <w:tcW w:type="dxa" w:w="6160"/>
            <w:tcMar>
              <w:top w:type="dxa" w:w="100"/>
              <w:left w:type="dxa" w:w="140"/>
              <w:bottom w:type="dxa" w:w="100"/>
              <w:right w:type="dxa" w:w="140"/>
            </w:tcMar>
            <w:vAlign w:val="center"/>
          </w:tcPr>
          <w:p>
            <w:r>
              <w:rPr>
                <w:sz w:val="20"/>
                <w:szCs w:val="20"/>
              </w:rPr>
              <w:t xml:space="preserve">Estación automática de atornillado, Serie STTOR</w:t>
            </w:r>
          </w:p>
        </w:tc>
      </w:tr>
      <w:tr>
        <w:tc>
          <w:tcPr>
            <w:tcW w:type="dxa" w:w="3200"/>
            <w:shd w:fill="F2F2F2" w:val="clear"/>
            <w:tcMar>
              <w:top w:type="dxa" w:w="100"/>
              <w:left w:type="dxa" w:w="140"/>
              <w:bottom w:type="dxa" w:w="100"/>
              <w:right w:type="dxa" w:w="140"/>
            </w:tcMar>
            <w:vAlign w:val="center"/>
          </w:tcPr>
          <w:p>
            <w:r>
              <w:rPr>
                <w:b/>
                <w:bCs/>
                <w:sz w:val="20"/>
                <w:szCs w:val="20"/>
              </w:rPr>
              <w:t xml:space="preserve">Modelos</w:t>
            </w:r>
          </w:p>
        </w:tc>
        <w:tc>
          <w:tcPr>
            <w:tcW w:type="dxa" w:w="6160"/>
            <w:tcMar>
              <w:top w:type="dxa" w:w="100"/>
              <w:left w:type="dxa" w:w="140"/>
              <w:bottom w:type="dxa" w:w="100"/>
              <w:right w:type="dxa" w:w="140"/>
            </w:tcMar>
            <w:vAlign w:val="center"/>
          </w:tcPr>
          <w:p>
            <w:r>
              <w:rPr>
                <w:sz w:val="20"/>
                <w:szCs w:val="20"/>
              </w:rPr>
              <w:t xml:space="preserve">VSS1H-6050-001, VSS1H-6050-002, VSS1H-6050-003, VSS1H-6050-004, VSS1H-6050-005, VSS1H-6050-006, MS-550-001, MS-550-002</w:t>
            </w:r>
          </w:p>
        </w:tc>
      </w:tr>
      <w:tr>
        <w:tc>
          <w:tcPr>
            <w:tcW w:type="dxa" w:w="3200"/>
            <w:shd w:fill="F2F2F2" w:val="clear"/>
            <w:tcMar>
              <w:top w:type="dxa" w:w="100"/>
              <w:left w:type="dxa" w:w="140"/>
              <w:bottom w:type="dxa" w:w="100"/>
              <w:right w:type="dxa" w:w="140"/>
            </w:tcMar>
            <w:vAlign w:val="center"/>
          </w:tcPr>
          <w:p>
            <w:r>
              <w:rPr>
                <w:b/>
                <w:bCs/>
                <w:sz w:val="20"/>
                <w:szCs w:val="20"/>
              </w:rPr>
              <w:t xml:space="preserve">Documento</w:t>
            </w:r>
          </w:p>
        </w:tc>
        <w:tc>
          <w:tcPr>
            <w:tcW w:type="dxa" w:w="6160"/>
            <w:tcMar>
              <w:top w:type="dxa" w:w="100"/>
              <w:left w:type="dxa" w:w="140"/>
              <w:bottom w:type="dxa" w:w="100"/>
              <w:right w:type="dxa" w:w="140"/>
            </w:tcMar>
            <w:vAlign w:val="center"/>
          </w:tcPr>
          <w:p>
            <w:r>
              <w:rPr>
                <w:sz w:val="20"/>
                <w:szCs w:val="20"/>
              </w:rPr>
              <w:t xml:space="preserve">ITO-STTOR-OM-001, Rev. A</w:t>
            </w:r>
          </w:p>
        </w:tc>
      </w:tr>
    </w:tbl>
    <w:p>
      <w:pPr>
        <w:spacing w:before="500"/>
        <w:jc w:val="center"/>
      </w:pPr>
      <w:r>
        <w:drawing>
          <wp:inline distT="0" distB="0" distL="0" distR="0">
            <wp:extent cx="8572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447675"/>
                    </a:xfrm>
                    <a:prstGeom prst="rect">
                      <a:avLst/>
                    </a:prstGeom>
                  </pic:spPr>
                </pic:pic>
              </a:graphicData>
            </a:graphic>
          </wp:inline>
        </w:drawing>
      </w:r>
    </w:p>
    <w:sectPr>
      <w:headerReference w:type="default" r:id="rId7"/>
      <w:footerReference w:type="default" r:id="rId8"/>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999999"/>
        <w:sz w:val="15"/>
        <w:szCs w:val="15"/>
      </w:rPr>
      <w:t xml:space="preserve">ITO GROUP — Documento de proveedor  |  Uso interno Jabil</w:t>
    </w:r>
    <w:r>
      <w:t xml:space="preserve">	</w:t>
    </w:r>
    <w:r>
      <w:rPr>
        <w:color w:val="999999"/>
        <w:sz w:val="15"/>
        <w:szCs w:val="15"/>
      </w:rPr>
      <w:t xml:space="preserve">Página </w:t>
    </w:r>
    <w:r>
      <w:rPr>
        <w:color w:val="999999"/>
        <w:sz w:val="15"/>
        <w:szCs w:val="15"/>
      </w:rPr>
      <w:fldChar w:fldCharType="begin"/>
      <w:instrText xml:space="preserve">PAGE</w:instrText>
      <w:fldChar w:fldCharType="separate"/>
      <w:fldChar w:fldCharType="end"/>
    </w:r>
    <w:r>
      <w:rPr>
        <w:color w:val="999999"/>
        <w:sz w:val="15"/>
        <w:szCs w:val="15"/>
      </w:rPr>
      <w:t xml:space="preserve"> de </w:t>
    </w:r>
    <w:r>
      <w:rPr>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drawing>
        <wp:inline distT="0" distB="0" distL="0" distR="0">
          <wp:extent cx="8572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371475"/>
                  </a:xfrm>
                  <a:prstGeom prst="rect">
                    <a:avLst/>
                  </a:prstGeom>
                </pic:spPr>
              </pic:pic>
            </a:graphicData>
          </a:graphic>
        </wp:inline>
      </w:drawing>
    </w:r>
    <w:r>
      <w:t xml:space="preserve">	</w:t>
    </w:r>
    <w:r>
      <w:rPr>
        <w:color w:val="777777"/>
        <w:sz w:val="16"/>
        <w:szCs w:val="16"/>
      </w:rPr>
      <w:t xml:space="preserve">Manual de Operación y Mantenimiento — Serie STTOR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2bf701528beec2c7bec03b93b8dd07c4b2090b.jpg"/><Relationship Id="rId10" Type="http://schemas.openxmlformats.org/officeDocument/2006/relationships/image" Target="media/89326529df9fa28ab30a218dae8450870b96d63f.png"/><Relationship Id="rId11" Type="http://schemas.openxmlformats.org/officeDocument/2006/relationships/image" Target="media/44376aa0fb08cf7fc09af36088e65f0e1e1f5e27.jpg"/><Relationship Id="rId12" Type="http://schemas.openxmlformats.org/officeDocument/2006/relationships/image" Target="media/71236e830c43b0214e289614c9320c2697c3b478.png"/><Relationship Id="rId13" Type="http://schemas.openxmlformats.org/officeDocument/2006/relationships/image" Target="media/8ff1d966cfae4a6302e6df44a167b248f9e17530.png"/><Relationship Id="rId14" Type="http://schemas.openxmlformats.org/officeDocument/2006/relationships/image" Target="media/7dfdae37955e16d6282255858055871bd97d2550.png"/><Relationship Id="rId15" Type="http://schemas.openxmlformats.org/officeDocument/2006/relationships/image" Target="media/d098455020b913f59488ac08812a7f72dd770d5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12bf701528beec2c7bec03b93b8dd07c4b2090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Operación y Mantenimiento — Serie STTOR</dc:title>
  <dc:creator>ITO GROUP</dc:creator>
  <cp:lastModifiedBy>Un-named</cp:lastModifiedBy>
  <cp:revision>1</cp:revision>
  <dcterms:created xsi:type="dcterms:W3CDTF">2026-09-21T22:26:48.483Z</dcterms:created>
  <dcterms:modified xsi:type="dcterms:W3CDTF">2026-09-21T22:26:48.484Z</dcterms:modified>
</cp:coreProperties>
</file>

<file path=docProps/custom.xml><?xml version="1.0" encoding="utf-8"?>
<Properties xmlns="http://schemas.openxmlformats.org/officeDocument/2006/custom-properties" xmlns:vt="http://schemas.openxmlformats.org/officeDocument/2006/docPropsVTypes"/>
</file>