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jc w:val="center"/>
      </w:pPr>
      <w:r>
        <w:drawing>
          <wp:inline distT="0" distB="0" distL="0" distR="0">
            <wp:extent cx="24765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1076325"/>
                    </a:xfrm>
                    <a:prstGeom prst="rect">
                      <a:avLst/>
                    </a:prstGeom>
                  </pic:spPr>
                </pic:pic>
              </a:graphicData>
            </a:graphic>
          </wp:inline>
        </w:drawing>
      </w:r>
    </w:p>
    <w:p>
      <w:pPr>
        <w:pBdr>
          <w:top w:val="single" w:color="3E7C8C" w:sz="16" w:space="12"/>
        </w:pBdr>
        <w:spacing w:before="700"/>
        <w:jc w:val="center"/>
      </w:pPr>
    </w:p>
    <w:p>
      <w:pPr>
        <w:spacing w:before="400"/>
        <w:jc w:val="center"/>
      </w:pPr>
      <w:r>
        <w:rPr>
          <w:b/>
          <w:bCs/>
          <w:color w:val="2E3A45"/>
          <w:sz w:val="46"/>
          <w:szCs w:val="46"/>
        </w:rPr>
        <w:t xml:space="preserve">MANUAL DE OPERACIÓN Y MANTENIMIENTO</w:t>
      </w:r>
    </w:p>
    <w:p>
      <w:pPr>
        <w:spacing w:after="100" w:before="160"/>
        <w:jc w:val="center"/>
      </w:pPr>
      <w:r>
        <w:rPr>
          <w:b/>
          <w:bCs/>
          <w:color w:val="3E7C8C"/>
          <w:sz w:val="28"/>
          <w:szCs w:val="28"/>
        </w:rPr>
        <w:t xml:space="preserve">Estación de Dispensado, Alineación Óptica y Curado UV</w:t>
      </w:r>
    </w:p>
    <w:p>
      <w:pPr>
        <w:spacing w:after="500"/>
        <w:jc w:val="center"/>
      </w:pPr>
      <w:r>
        <w:rPr>
          <w:i/>
          <w:iCs/>
          <w:color w:val="555555"/>
          <w:sz w:val="22"/>
          <w:szCs w:val="22"/>
        </w:rPr>
        <w:t xml:space="preserve">Kasalis PIXID 500 — Embotellamiento compartido de todas las líneas de producción</w:t>
      </w:r>
    </w:p>
    <w:p>
      <w:pPr>
        <w:spacing w:before="60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160"/>
      </w:tblGrid>
      <w:tr>
        <w:tc>
          <w:tcPr>
            <w:tcW w:type="dxa" w:w="3200"/>
            <w:shd w:fill="F2F2F2" w:val="clear"/>
            <w:tcMar>
              <w:top w:type="dxa" w:w="100"/>
              <w:left w:type="dxa" w:w="140"/>
              <w:bottom w:type="dxa" w:w="100"/>
              <w:right w:type="dxa" w:w="140"/>
            </w:tcMar>
            <w:vAlign w:val="center"/>
          </w:tcPr>
          <w:p>
            <w:r>
              <w:rPr>
                <w:b/>
                <w:bCs/>
                <w:sz w:val="20"/>
                <w:szCs w:val="20"/>
              </w:rPr>
              <w:t xml:space="preserve">Equipo</w:t>
            </w:r>
          </w:p>
        </w:tc>
        <w:tc>
          <w:tcPr>
            <w:tcW w:type="dxa" w:w="6160"/>
            <w:tcMar>
              <w:top w:type="dxa" w:w="100"/>
              <w:left w:type="dxa" w:w="140"/>
              <w:bottom w:type="dxa" w:w="100"/>
              <w:right w:type="dxa" w:w="140"/>
            </w:tcMar>
            <w:vAlign w:val="center"/>
          </w:tcPr>
          <w:p>
            <w:r>
              <w:rPr>
                <w:sz w:val="20"/>
                <w:szCs w:val="20"/>
              </w:rPr>
              <w:t xml:space="preserve">Kasalis PIXID 500</w:t>
            </w:r>
          </w:p>
        </w:tc>
      </w:tr>
      <w:tr>
        <w:tc>
          <w:tcPr>
            <w:tcW w:type="dxa" w:w="3200"/>
            <w:shd w:fill="F2F2F2" w:val="clear"/>
            <w:tcMar>
              <w:top w:type="dxa" w:w="100"/>
              <w:left w:type="dxa" w:w="140"/>
              <w:bottom w:type="dxa" w:w="100"/>
              <w:right w:type="dxa" w:w="140"/>
            </w:tcMar>
            <w:vAlign w:val="center"/>
          </w:tcPr>
          <w:p>
            <w:r>
              <w:rPr>
                <w:b/>
                <w:bCs/>
                <w:sz w:val="20"/>
                <w:szCs w:val="20"/>
              </w:rPr>
              <w:t xml:space="preserve">Fabricante</w:t>
            </w:r>
          </w:p>
        </w:tc>
        <w:tc>
          <w:tcPr>
            <w:tcW w:type="dxa" w:w="6160"/>
            <w:tcMar>
              <w:top w:type="dxa" w:w="100"/>
              <w:left w:type="dxa" w:w="140"/>
              <w:bottom w:type="dxa" w:w="100"/>
              <w:right w:type="dxa" w:w="140"/>
            </w:tcMar>
            <w:vAlign w:val="center"/>
          </w:tcPr>
          <w:p>
            <w:r>
              <w:rPr>
                <w:sz w:val="20"/>
                <w:szCs w:val="20"/>
              </w:rPr>
              <w:t xml:space="preserve">ITO GROUP</w:t>
            </w:r>
          </w:p>
        </w:tc>
      </w:tr>
      <w:tr>
        <w:tc>
          <w:tcPr>
            <w:tcW w:type="dxa" w:w="3200"/>
            <w:shd w:fill="F2F2F2" w:val="clear"/>
            <w:tcMar>
              <w:top w:type="dxa" w:w="100"/>
              <w:left w:type="dxa" w:w="140"/>
              <w:bottom w:type="dxa" w:w="100"/>
              <w:right w:type="dxa" w:w="140"/>
            </w:tcMar>
            <w:vAlign w:val="center"/>
          </w:tcPr>
          <w:p>
            <w:r>
              <w:rPr>
                <w:b/>
                <w:bCs/>
                <w:sz w:val="20"/>
                <w:szCs w:val="20"/>
              </w:rPr>
              <w:t xml:space="preserve">Cliente / Planta</w:t>
            </w:r>
          </w:p>
        </w:tc>
        <w:tc>
          <w:tcPr>
            <w:tcW w:type="dxa" w:w="6160"/>
            <w:tcMar>
              <w:top w:type="dxa" w:w="100"/>
              <w:left w:type="dxa" w:w="140"/>
              <w:bottom w:type="dxa" w:w="100"/>
              <w:right w:type="dxa" w:w="140"/>
            </w:tcMar>
            <w:vAlign w:val="center"/>
          </w:tcPr>
          <w:p>
            <w:r>
              <w:rPr>
                <w:sz w:val="20"/>
                <w:szCs w:val="20"/>
              </w:rPr>
              <w:t xml:space="preserve">Jabil — John Deere Program</w:t>
            </w:r>
          </w:p>
        </w:tc>
      </w:tr>
      <w:tr>
        <w:tc>
          <w:tcPr>
            <w:tcW w:type="dxa" w:w="3200"/>
            <w:shd w:fill="F2F2F2" w:val="clear"/>
            <w:tcMar>
              <w:top w:type="dxa" w:w="100"/>
              <w:left w:type="dxa" w:w="140"/>
              <w:bottom w:type="dxa" w:w="100"/>
              <w:right w:type="dxa" w:w="140"/>
            </w:tcMar>
            <w:vAlign w:val="center"/>
          </w:tcPr>
          <w:p>
            <w:r>
              <w:rPr>
                <w:b/>
                <w:bCs/>
                <w:sz w:val="20"/>
                <w:szCs w:val="20"/>
              </w:rPr>
              <w:t xml:space="preserve">Tipo de equipo</w:t>
            </w:r>
          </w:p>
        </w:tc>
        <w:tc>
          <w:tcPr>
            <w:tcW w:type="dxa" w:w="6160"/>
            <w:tcMar>
              <w:top w:type="dxa" w:w="100"/>
              <w:left w:type="dxa" w:w="140"/>
              <w:bottom w:type="dxa" w:w="100"/>
              <w:right w:type="dxa" w:w="140"/>
            </w:tcMar>
            <w:vAlign w:val="center"/>
          </w:tcPr>
          <w:p>
            <w:r>
              <w:rPr>
                <w:sz w:val="20"/>
                <w:szCs w:val="20"/>
              </w:rPr>
              <w:t xml:space="preserve">Estación de dispensado de adhesivo (DELO), alineación óptica y curado UV, sobre torna-mesa de 4 estaciones</w:t>
            </w:r>
          </w:p>
        </w:tc>
      </w:tr>
      <w:tr>
        <w:tc>
          <w:tcPr>
            <w:tcW w:type="dxa" w:w="3200"/>
            <w:shd w:fill="F2F2F2" w:val="clear"/>
            <w:tcMar>
              <w:top w:type="dxa" w:w="100"/>
              <w:left w:type="dxa" w:w="140"/>
              <w:bottom w:type="dxa" w:w="100"/>
              <w:right w:type="dxa" w:w="140"/>
            </w:tcMar>
            <w:vAlign w:val="center"/>
          </w:tcPr>
          <w:p>
            <w:r>
              <w:rPr>
                <w:b/>
                <w:bCs/>
                <w:sz w:val="20"/>
                <w:szCs w:val="20"/>
              </w:rPr>
              <w:t xml:space="preserve">Líneas que abastece</w:t>
            </w:r>
          </w:p>
        </w:tc>
        <w:tc>
          <w:tcPr>
            <w:tcW w:type="dxa" w:w="6160"/>
            <w:tcMar>
              <w:top w:type="dxa" w:w="100"/>
              <w:left w:type="dxa" w:w="140"/>
              <w:bottom w:type="dxa" w:w="100"/>
              <w:right w:type="dxa" w:w="140"/>
            </w:tcMar>
            <w:vAlign w:val="center"/>
          </w:tcPr>
          <w:p>
            <w:r>
              <w:rPr>
                <w:sz w:val="20"/>
                <w:szCs w:val="20"/>
              </w:rPr>
              <w:t xml:space="preserve">SCORPION (76°/95°/131°/135°/133.4°), MOOSE, GECKO, INFURROW</w:t>
            </w:r>
          </w:p>
        </w:tc>
      </w:tr>
      <w:tr>
        <w:tc>
          <w:tcPr>
            <w:tcW w:type="dxa" w:w="3200"/>
            <w:shd w:fill="F2F2F2" w:val="clear"/>
            <w:tcMar>
              <w:top w:type="dxa" w:w="100"/>
              <w:left w:type="dxa" w:w="140"/>
              <w:bottom w:type="dxa" w:w="100"/>
              <w:right w:type="dxa" w:w="140"/>
            </w:tcMar>
            <w:vAlign w:val="center"/>
          </w:tcPr>
          <w:p>
            <w:r>
              <w:rPr>
                <w:b/>
                <w:bCs/>
                <w:sz w:val="20"/>
                <w:szCs w:val="20"/>
              </w:rPr>
              <w:t xml:space="preserve">No. de documento</w:t>
            </w:r>
          </w:p>
        </w:tc>
        <w:tc>
          <w:tcPr>
            <w:tcW w:type="dxa" w:w="6160"/>
            <w:tcMar>
              <w:top w:type="dxa" w:w="100"/>
              <w:left w:type="dxa" w:w="140"/>
              <w:bottom w:type="dxa" w:w="100"/>
              <w:right w:type="dxa" w:w="140"/>
            </w:tcMar>
            <w:vAlign w:val="center"/>
          </w:tcPr>
          <w:p>
            <w:r>
              <w:rPr>
                <w:sz w:val="20"/>
                <w:szCs w:val="20"/>
              </w:rPr>
              <w:t xml:space="preserve">ITO-KASALIS-OM-001</w:t>
            </w:r>
          </w:p>
        </w:tc>
      </w:tr>
      <w:tr>
        <w:tc>
          <w:tcPr>
            <w:tcW w:type="dxa" w:w="3200"/>
            <w:shd w:fill="F2F2F2" w:val="clear"/>
            <w:tcMar>
              <w:top w:type="dxa" w:w="100"/>
              <w:left w:type="dxa" w:w="140"/>
              <w:bottom w:type="dxa" w:w="100"/>
              <w:right w:type="dxa" w:w="140"/>
            </w:tcMar>
            <w:vAlign w:val="center"/>
          </w:tcPr>
          <w:p>
            <w:r>
              <w:rPr>
                <w:b/>
                <w:bCs/>
                <w:sz w:val="20"/>
                <w:szCs w:val="20"/>
              </w:rPr>
              <w:t xml:space="preserve">Revisión</w:t>
            </w:r>
          </w:p>
        </w:tc>
        <w:tc>
          <w:tcPr>
            <w:tcW w:type="dxa" w:w="6160"/>
            <w:tcMar>
              <w:top w:type="dxa" w:w="100"/>
              <w:left w:type="dxa" w:w="140"/>
              <w:bottom w:type="dxa" w:w="100"/>
              <w:right w:type="dxa" w:w="140"/>
            </w:tcMar>
            <w:vAlign w:val="center"/>
          </w:tcPr>
          <w:p>
            <w:r>
              <w:rPr>
                <w:sz w:val="20"/>
                <w:szCs w:val="20"/>
              </w:rPr>
              <w:t xml:space="preserve">Rev. A</w:t>
            </w:r>
          </w:p>
        </w:tc>
      </w:tr>
      <w:tr>
        <w:tc>
          <w:tcPr>
            <w:tcW w:type="dxa" w:w="3200"/>
            <w:shd w:fill="F2F2F2" w:val="clear"/>
            <w:tcMar>
              <w:top w:type="dxa" w:w="100"/>
              <w:left w:type="dxa" w:w="140"/>
              <w:bottom w:type="dxa" w:w="100"/>
              <w:right w:type="dxa" w:w="140"/>
            </w:tcMar>
            <w:vAlign w:val="center"/>
          </w:tcPr>
          <w:p>
            <w:r>
              <w:rPr>
                <w:b/>
                <w:bCs/>
                <w:sz w:val="20"/>
                <w:szCs w:val="20"/>
              </w:rPr>
              <w:t xml:space="preserve">Fecha de emisión</w:t>
            </w:r>
          </w:p>
        </w:tc>
        <w:tc>
          <w:tcPr>
            <w:tcW w:type="dxa" w:w="6160"/>
            <w:tcMar>
              <w:top w:type="dxa" w:w="100"/>
              <w:left w:type="dxa" w:w="140"/>
              <w:bottom w:type="dxa" w:w="100"/>
              <w:right w:type="dxa" w:w="140"/>
            </w:tcMar>
            <w:vAlign w:val="center"/>
          </w:tcPr>
          <w:p>
            <w:r>
              <w:rPr>
                <w:sz w:val="20"/>
                <w:szCs w:val="20"/>
              </w:rPr>
              <w:t xml:space="preserve">2026-09-22</w:t>
            </w:r>
          </w:p>
        </w:tc>
      </w:tr>
    </w:tbl>
    <w:p>
      <w:pPr>
        <w:spacing w:before="900"/>
        <w:jc w:val="center"/>
      </w:pPr>
      <w:r>
        <w:drawing>
          <wp:inline distT="0" distB="0" distL="0" distR="0">
            <wp:extent cx="104775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542925"/>
                    </a:xfrm>
                    <a:prstGeom prst="rect">
                      <a:avLst/>
                    </a:prstGeom>
                  </pic:spPr>
                </pic:pic>
              </a:graphicData>
            </a:graphic>
          </wp:inline>
        </w:drawing>
      </w:r>
    </w:p>
    <w:p>
      <w:pPr>
        <w:spacing w:before="80"/>
        <w:jc w:val="center"/>
      </w:pPr>
      <w:r>
        <w:rPr>
          <w:i/>
          <w:iCs/>
          <w:color w:val="888888"/>
          <w:sz w:val="15"/>
          <w:szCs w:val="15"/>
        </w:rPr>
        <w:t xml:space="preserve">Documento de proveedor — entregado a Jabil como referencia de la máquina</w:t>
      </w:r>
    </w:p>
    <w:p>
      <w:r>
        <w:br w:type="page"/>
      </w:r>
    </w:p>
    <w:p>
      <w:pPr>
        <w:sectPr>
          <w:pgSz w:w="12240" w:h="15840" w:orient="portrait"/>
          <w:pgMar w:top="1000" w:right="1440" w:bottom="1000" w:left="1440" w:header="708" w:footer="708" w:gutter="0"/>
          <w:pgNumType/>
          <w:docGrid w:linePitch="360"/>
        </w:sectPr>
      </w:pPr>
    </w:p>
    <w:p>
      <w:pPr>
        <w:spacing w:after="240"/>
      </w:pPr>
      <w:r>
        <w:rPr>
          <w:b/>
          <w:bCs/>
          <w:color w:val="2E3A45"/>
          <w:sz w:val="30"/>
          <w:szCs w:val="30"/>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3E7C8C" w:sz="6" w:space="4"/>
        </w:pBdr>
        <w:spacing w:after="200" w:before="400"/>
      </w:pPr>
      <w:r>
        <w:rPr>
          <w:b/>
          <w:bCs/>
          <w:color w:val="2E3A45"/>
          <w:sz w:val="30"/>
          <w:szCs w:val="30"/>
        </w:rPr>
        <w:t xml:space="preserve">1.  Introducción y Alcance</w:t>
      </w:r>
    </w:p>
    <w:tbl>
      <w:tblPr>
        <w:tblW w:type="dxa" w:w="9360"/>
        <w:tblBorders>
          <w:top w:val="single" w:color="3E7C8C" w:sz="12"/>
          <w:left w:val="single" w:color="3E7C8C" w:sz="12"/>
          <w:bottom w:val="single" w:color="3E7C8C" w:sz="12"/>
          <w:right w:val="single" w:color="3E7C8C" w:sz="12"/>
          <w:insideH w:val="single" w:color="auto" w:sz="4"/>
          <w:insideV w:val="single" w:color="auto" w:sz="4"/>
        </w:tblBorders>
      </w:tblPr>
      <w:tblGrid>
        <w:gridCol w:w="9360"/>
      </w:tblGrid>
      <w:tr>
        <w:tc>
          <w:tcPr>
            <w:tcW w:type="dxa" w:w="9360"/>
            <w:shd w:fill="E9F2F4" w:val="clear"/>
            <w:tcMar>
              <w:top w:type="dxa" w:w="140"/>
              <w:left w:type="dxa" w:w="160"/>
              <w:bottom w:type="dxa" w:w="140"/>
              <w:right w:type="dxa" w:w="160"/>
            </w:tcMar>
          </w:tcPr>
          <w:p>
            <w:r>
              <w:rPr>
                <w:b/>
                <w:bCs/>
                <w:color w:val="3E7C8C"/>
                <w:sz w:val="21"/>
                <w:szCs w:val="21"/>
              </w:rPr>
              <w:t xml:space="preserve">ℹ Equipo crítico compartido</w:t>
            </w:r>
          </w:p>
          <w:p>
            <w:pPr>
              <w:spacing w:before="60"/>
            </w:pPr>
            <w:r>
              <w:rPr>
                <w:sz w:val="20"/>
                <w:szCs w:val="20"/>
              </w:rPr>
              <w:t xml:space="preserve">La Kasalis PIXID 500 es el embotellamiento crítico compartido entre todas las líneas de producción (SCORPION (76°/95°/131°/135°/133.4°), MOOSE, GECKO, INFURROW). Cualquier falla en esta máquina detiene la producción de TODOS los modelos, aunque el proceso que realiza es el mismo para todos: dispensa adhesivo DELO, alinea la óptica con retroalimentación en Z, cura con luz UV, e inspecciona el resultado mediante MTF (function de transferencia de modulación).</w:t>
            </w:r>
          </w:p>
        </w:tc>
      </w:tr>
    </w:tbl>
    <w:p>
      <w:pPr>
        <w:spacing w:after="160" w:line="300"/>
      </w:pPr>
      <w:r>
        <w:rPr>
          <w:sz w:val="21"/>
          <w:szCs w:val="21"/>
        </w:rPr>
        <w:t xml:space="preserve">Este manual describe la operación, seguridad, cambio de modelo y solución de fallas de la Kasalis PIXID 500, fabricada por ITO GROUP para la planta de Jabil. La mecánica y electrónica de la máquina son idénticas para todos los modelos que procesa; lo único que cambia entre modelos son los parámetros de visión (VIS), los offsets de dispensado y, en algunos casos, la altura del dispensador y el plato de la torna-mesa.</w:t>
      </w:r>
    </w:p>
    <w:p>
      <w:pPr>
        <w:spacing w:after="160" w:line="300"/>
      </w:pPr>
      <w:r>
        <w:rPr>
          <w:sz w:val="21"/>
          <w:szCs w:val="21"/>
        </w:rPr>
        <w:t xml:space="preserve">Este documento debe conservarse en la estación y estar disponible para el personal operativo y de mantenimiento. Para información de seguridad específica de la instalación (MRA/RA), referirse a la documentación de EHS de Jabil correspondiente a esta estación.</w:t>
      </w:r>
    </w:p>
    <w:p>
      <w:pPr>
        <w:pStyle w:val="Heading1"/>
        <w:pBdr>
          <w:bottom w:val="single" w:color="3E7C8C" w:sz="6" w:space="4"/>
        </w:pBdr>
        <w:spacing w:after="200" w:before="400"/>
      </w:pPr>
      <w:r>
        <w:rPr>
          <w:b/>
          <w:bCs/>
          <w:color w:val="2E3A45"/>
          <w:sz w:val="30"/>
          <w:szCs w:val="30"/>
        </w:rPr>
        <w:t xml:space="preserve">2.  Especificaciones Técnicas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160"/>
      </w:tblGrid>
      <w:tr>
        <w:tc>
          <w:tcPr>
            <w:tcW w:type="dxa" w:w="3200"/>
            <w:shd w:fill="F2F2F2" w:val="clear"/>
            <w:tcMar>
              <w:top w:type="dxa" w:w="100"/>
              <w:left w:type="dxa" w:w="140"/>
              <w:bottom w:type="dxa" w:w="100"/>
              <w:right w:type="dxa" w:w="140"/>
            </w:tcMar>
            <w:vAlign w:val="center"/>
          </w:tcPr>
          <w:p>
            <w:r>
              <w:rPr>
                <w:b/>
                <w:bCs/>
                <w:sz w:val="20"/>
                <w:szCs w:val="20"/>
              </w:rPr>
              <w:t xml:space="preserve">Tipo de máquina</w:t>
            </w:r>
          </w:p>
        </w:tc>
        <w:tc>
          <w:tcPr>
            <w:tcW w:type="dxa" w:w="6160"/>
            <w:tcMar>
              <w:top w:type="dxa" w:w="100"/>
              <w:left w:type="dxa" w:w="140"/>
              <w:bottom w:type="dxa" w:w="100"/>
              <w:right w:type="dxa" w:w="140"/>
            </w:tcMar>
            <w:vAlign w:val="center"/>
          </w:tcPr>
          <w:p>
            <w:r>
              <w:rPr>
                <w:sz w:val="20"/>
                <w:szCs w:val="20"/>
              </w:rPr>
              <w:t xml:space="preserve">Estación de dispensado, alineación óptica, curado UV e inspección, sobre torna-mesa</w:t>
            </w:r>
          </w:p>
        </w:tc>
      </w:tr>
      <w:tr>
        <w:tc>
          <w:tcPr>
            <w:tcW w:type="dxa" w:w="3200"/>
            <w:shd w:fill="F2F2F2" w:val="clear"/>
            <w:tcMar>
              <w:top w:type="dxa" w:w="100"/>
              <w:left w:type="dxa" w:w="140"/>
              <w:bottom w:type="dxa" w:w="100"/>
              <w:right w:type="dxa" w:w="140"/>
            </w:tcMar>
            <w:vAlign w:val="center"/>
          </w:tcPr>
          <w:p>
            <w:r>
              <w:rPr>
                <w:b/>
                <w:bCs/>
                <w:sz w:val="20"/>
                <w:szCs w:val="20"/>
              </w:rPr>
              <w:t xml:space="preserve">Torna-mesa</w:t>
            </w:r>
          </w:p>
        </w:tc>
        <w:tc>
          <w:tcPr>
            <w:tcW w:type="dxa" w:w="6160"/>
            <w:tcMar>
              <w:top w:type="dxa" w:w="100"/>
              <w:left w:type="dxa" w:w="140"/>
              <w:bottom w:type="dxa" w:w="100"/>
              <w:right w:type="dxa" w:w="140"/>
            </w:tcMar>
            <w:vAlign w:val="center"/>
          </w:tcPr>
          <w:p>
            <w:r>
              <w:rPr>
                <w:sz w:val="20"/>
                <w:szCs w:val="20"/>
              </w:rPr>
              <w:t xml:space="preserve">Motor de gran tamaño; 4 estaciones, cada una con pistón neumático de clampeo de pieza</w:t>
            </w:r>
          </w:p>
        </w:tc>
      </w:tr>
      <w:tr>
        <w:tc>
          <w:tcPr>
            <w:tcW w:type="dxa" w:w="3200"/>
            <w:shd w:fill="F2F2F2" w:val="clear"/>
            <w:tcMar>
              <w:top w:type="dxa" w:w="100"/>
              <w:left w:type="dxa" w:w="140"/>
              <w:bottom w:type="dxa" w:w="100"/>
              <w:right w:type="dxa" w:w="140"/>
            </w:tcMar>
            <w:vAlign w:val="center"/>
          </w:tcPr>
          <w:p>
            <w:r>
              <w:rPr>
                <w:b/>
                <w:bCs/>
                <w:sz w:val="20"/>
                <w:szCs w:val="20"/>
              </w:rPr>
              <w:t xml:space="preserve">Mini-gantry 1 (dispensado)</w:t>
            </w:r>
          </w:p>
        </w:tc>
        <w:tc>
          <w:tcPr>
            <w:tcW w:type="dxa" w:w="6160"/>
            <w:tcMar>
              <w:top w:type="dxa" w:w="100"/>
              <w:left w:type="dxa" w:w="140"/>
              <w:bottom w:type="dxa" w:w="100"/>
              <w:right w:type="dxa" w:w="140"/>
            </w:tcMar>
            <w:vAlign w:val="center"/>
          </w:tcPr>
          <w:p>
            <w:r>
              <w:rPr>
                <w:sz w:val="20"/>
                <w:szCs w:val="20"/>
              </w:rPr>
              <w:t xml:space="preserve">3 ejes con sensores de límite y drivers propios; tooling: dispensador ViscoTech ECO-PEN450 (empuje neumático de adhesivo DELO) + cilindro de clampeo de pieza</w:t>
            </w:r>
          </w:p>
        </w:tc>
      </w:tr>
      <w:tr>
        <w:tc>
          <w:tcPr>
            <w:tcW w:type="dxa" w:w="3200"/>
            <w:shd w:fill="F2F2F2" w:val="clear"/>
            <w:tcMar>
              <w:top w:type="dxa" w:w="100"/>
              <w:left w:type="dxa" w:w="140"/>
              <w:bottom w:type="dxa" w:w="100"/>
              <w:right w:type="dxa" w:w="140"/>
            </w:tcMar>
            <w:vAlign w:val="center"/>
          </w:tcPr>
          <w:p>
            <w:r>
              <w:rPr>
                <w:b/>
                <w:bCs/>
                <w:sz w:val="20"/>
                <w:szCs w:val="20"/>
              </w:rPr>
              <w:t xml:space="preserve">Mini-gantry 2 (Pick &amp; Place)</w:t>
            </w:r>
          </w:p>
        </w:tc>
        <w:tc>
          <w:tcPr>
            <w:tcW w:type="dxa" w:w="6160"/>
            <w:tcMar>
              <w:top w:type="dxa" w:w="100"/>
              <w:left w:type="dxa" w:w="140"/>
              <w:bottom w:type="dxa" w:w="100"/>
              <w:right w:type="dxa" w:w="140"/>
            </w:tcMar>
            <w:vAlign w:val="center"/>
          </w:tcPr>
          <w:p>
            <w:r>
              <w:rPr>
                <w:sz w:val="20"/>
                <w:szCs w:val="20"/>
              </w:rPr>
              <w:t xml:space="preserve">3 ejes con sensores de límite y drivers propios; tooling: gripper de PnP + cilindro de clampeo de pieza</w:t>
            </w:r>
          </w:p>
        </w:tc>
      </w:tr>
      <w:tr>
        <w:tc>
          <w:tcPr>
            <w:tcW w:type="dxa" w:w="3200"/>
            <w:shd w:fill="F2F2F2" w:val="clear"/>
            <w:tcMar>
              <w:top w:type="dxa" w:w="100"/>
              <w:left w:type="dxa" w:w="140"/>
              <w:bottom w:type="dxa" w:w="100"/>
              <w:right w:type="dxa" w:w="140"/>
            </w:tcMar>
            <w:vAlign w:val="center"/>
          </w:tcPr>
          <w:p>
            <w:r>
              <w:rPr>
                <w:b/>
                <w:bCs/>
                <w:sz w:val="20"/>
                <w:szCs w:val="20"/>
              </w:rPr>
              <w:t xml:space="preserve">Sistema óptico</w:t>
            </w:r>
          </w:p>
        </w:tc>
        <w:tc>
          <w:tcPr>
            <w:tcW w:type="dxa" w:w="6160"/>
            <w:tcMar>
              <w:top w:type="dxa" w:w="100"/>
              <w:left w:type="dxa" w:w="140"/>
              <w:bottom w:type="dxa" w:w="100"/>
              <w:right w:type="dxa" w:w="140"/>
            </w:tcMar>
            <w:vAlign w:val="center"/>
          </w:tcPr>
          <w:p>
            <w:r>
              <w:rPr>
                <w:sz w:val="20"/>
                <w:szCs w:val="20"/>
              </w:rPr>
              <w:t xml:space="preserve">Pogo de contacto para inspección MTF, retroalimentación de enfoque en eje Z (motor a pasos), fuente/LED UV para curado del adhesivo</w:t>
            </w:r>
          </w:p>
        </w:tc>
      </w:tr>
      <w:tr>
        <w:tc>
          <w:tcPr>
            <w:tcW w:type="dxa" w:w="3200"/>
            <w:shd w:fill="F2F2F2" w:val="clear"/>
            <w:tcMar>
              <w:top w:type="dxa" w:w="100"/>
              <w:left w:type="dxa" w:w="140"/>
              <w:bottom w:type="dxa" w:w="100"/>
              <w:right w:type="dxa" w:w="140"/>
            </w:tcMar>
            <w:vAlign w:val="center"/>
          </w:tcPr>
          <w:p>
            <w:r>
              <w:rPr>
                <w:b/>
                <w:bCs/>
                <w:sz w:val="20"/>
                <w:szCs w:val="20"/>
              </w:rPr>
              <w:t xml:space="preserve">Adhesivo utilizado</w:t>
            </w:r>
          </w:p>
        </w:tc>
        <w:tc>
          <w:tcPr>
            <w:tcW w:type="dxa" w:w="6160"/>
            <w:tcMar>
              <w:top w:type="dxa" w:w="100"/>
              <w:left w:type="dxa" w:w="140"/>
              <w:bottom w:type="dxa" w:w="100"/>
              <w:right w:type="dxa" w:w="140"/>
            </w:tcMar>
            <w:vAlign w:val="center"/>
          </w:tcPr>
          <w:p>
            <w:r>
              <w:rPr>
                <w:sz w:val="20"/>
                <w:szCs w:val="20"/>
              </w:rPr>
              <w:t xml:space="preserve">DELO (dispensado en anillo; patrón varía según modelo procesado)</w:t>
            </w:r>
          </w:p>
        </w:tc>
      </w:tr>
      <w:tr>
        <w:tc>
          <w:tcPr>
            <w:tcW w:type="dxa" w:w="3200"/>
            <w:shd w:fill="F2F2F2" w:val="clear"/>
            <w:tcMar>
              <w:top w:type="dxa" w:w="100"/>
              <w:left w:type="dxa" w:w="140"/>
              <w:bottom w:type="dxa" w:w="100"/>
              <w:right w:type="dxa" w:w="140"/>
            </w:tcMar>
            <w:vAlign w:val="center"/>
          </w:tcPr>
          <w:p>
            <w:r>
              <w:rPr>
                <w:b/>
                <w:bCs/>
                <w:sz w:val="20"/>
                <w:szCs w:val="20"/>
              </w:rPr>
              <w:t xml:space="preserve">Seguridad</w:t>
            </w:r>
          </w:p>
        </w:tc>
        <w:tc>
          <w:tcPr>
            <w:tcW w:type="dxa" w:w="6160"/>
            <w:tcMar>
              <w:top w:type="dxa" w:w="100"/>
              <w:left w:type="dxa" w:w="140"/>
              <w:bottom w:type="dxa" w:w="100"/>
              <w:right w:type="dxa" w:w="140"/>
            </w:tcMar>
            <w:vAlign w:val="center"/>
          </w:tcPr>
          <w:p>
            <w:r>
              <w:rPr>
                <w:sz w:val="20"/>
                <w:szCs w:val="20"/>
              </w:rPr>
              <w:t xml:space="preserve">Cortinas de seguridad, interlocks en las puertas de acceso, switch de llave Automático/Mantenimiento, paro de emergencia, switch general LOTO, válvula de bloqueo LOTO neumática</w:t>
            </w:r>
          </w:p>
        </w:tc>
      </w:tr>
    </w:tbl>
    <w:p>
      <w:pPr>
        <w:pStyle w:val="Heading1"/>
        <w:pBdr>
          <w:bottom w:val="single" w:color="3E7C8C" w:sz="6" w:space="4"/>
        </w:pBdr>
        <w:spacing w:after="200" w:before="400"/>
      </w:pPr>
      <w:r>
        <w:rPr>
          <w:b/>
          <w:bCs/>
          <w:color w:val="2E3A45"/>
          <w:sz w:val="30"/>
          <w:szCs w:val="30"/>
        </w:rPr>
        <w:t xml:space="preserve">3.  Descripción General de la Máquina</w:t>
      </w:r>
    </w:p>
    <w:p>
      <w:pPr>
        <w:pStyle w:val="Heading2"/>
        <w:spacing w:after="140" w:before="260"/>
      </w:pPr>
      <w:r>
        <w:rPr>
          <w:b/>
          <w:bCs/>
          <w:color w:val="3E7C8C"/>
          <w:sz w:val="24"/>
          <w:szCs w:val="24"/>
        </w:rPr>
        <w:t xml:space="preserve">3.1 Componentes principales</w:t>
      </w:r>
    </w:p>
    <w:p>
      <w:pPr>
        <w:pStyle w:val="ListParagraph"/>
        <w:numPr>
          <w:ilvl w:val="0"/>
          <w:numId w:val="2"/>
        </w:numPr>
        <w:spacing w:after="80"/>
      </w:pPr>
      <w:r>
        <w:rPr>
          <w:sz w:val="21"/>
          <w:szCs w:val="21"/>
        </w:rPr>
        <w:t xml:space="preserve">Torna-mesa: gira mediante un motor de gran tamaño para posicionar cada una de sus 4 estaciones frente a los mini-gantries; cada estación tiene su propio pistón de clampeo.</w:t>
      </w:r>
    </w:p>
    <w:p>
      <w:pPr>
        <w:pStyle w:val="ListParagraph"/>
        <w:numPr>
          <w:ilvl w:val="0"/>
          <w:numId w:val="2"/>
        </w:numPr>
        <w:spacing w:after="80"/>
      </w:pPr>
      <w:r>
        <w:rPr>
          <w:sz w:val="21"/>
          <w:szCs w:val="21"/>
        </w:rPr>
        <w:t xml:space="preserve">Mini-gantry de dispensado: 3 ejes con sensores de límite y drivers; aplica el adhesivo DELO mediante el dispensador ViscoTech ECO-PEN450 y clampea la pieza con su propio cilindro neumático.</w:t>
      </w:r>
    </w:p>
    <w:p>
      <w:pPr>
        <w:pStyle w:val="ListParagraph"/>
        <w:numPr>
          <w:ilvl w:val="0"/>
          <w:numId w:val="2"/>
        </w:numPr>
        <w:spacing w:after="80"/>
      </w:pPr>
      <w:r>
        <w:rPr>
          <w:sz w:val="21"/>
          <w:szCs w:val="21"/>
        </w:rPr>
        <w:t xml:space="preserve">Mini-gantry de Pick &amp; Place (PnP): 3 ejes con sensores de límite y drivers; su gripper toma y coloca la pieza, y también cuenta con cilindro de clampeo propio.</w:t>
      </w:r>
    </w:p>
    <w:p>
      <w:pPr>
        <w:pStyle w:val="ListParagraph"/>
        <w:numPr>
          <w:ilvl w:val="0"/>
          <w:numId w:val="2"/>
        </w:numPr>
        <w:spacing w:after="80"/>
      </w:pPr>
      <w:r>
        <w:rPr>
          <w:sz w:val="21"/>
          <w:szCs w:val="21"/>
        </w:rPr>
        <w:t xml:space="preserve">Sistema óptico de inspección: pogo de contacto que realiza la lectura de MTF; el eje Z ajusta el enfoque automáticamente con retroalimentación de esa lectura.</w:t>
      </w:r>
    </w:p>
    <w:p>
      <w:pPr>
        <w:pStyle w:val="ListParagraph"/>
        <w:numPr>
          <w:ilvl w:val="0"/>
          <w:numId w:val="2"/>
        </w:numPr>
        <w:spacing w:after="80"/>
      </w:pPr>
      <w:r>
        <w:rPr>
          <w:sz w:val="21"/>
          <w:szCs w:val="21"/>
        </w:rPr>
        <w:t xml:space="preserve">Fuente/LED UV: cura el adhesivo DELO dispensado sobre la pieza.</w:t>
      </w:r>
    </w:p>
    <w:p>
      <w:pPr>
        <w:pStyle w:val="ListParagraph"/>
        <w:numPr>
          <w:ilvl w:val="0"/>
          <w:numId w:val="2"/>
        </w:numPr>
        <w:spacing w:after="80"/>
      </w:pPr>
      <w:r>
        <w:rPr>
          <w:sz w:val="21"/>
          <w:szCs w:val="21"/>
        </w:rPr>
        <w:t xml:space="preserve">Puertas de acceso con interlock: permiten el acceso del operador/mantenimiento; su apertura durante ciclo automático detiene la máquina.</w:t>
      </w:r>
    </w:p>
    <w:p>
      <w:pPr>
        <w:pStyle w:val="ListParagraph"/>
        <w:numPr>
          <w:ilvl w:val="0"/>
          <w:numId w:val="2"/>
        </w:numPr>
        <w:spacing w:after="80"/>
      </w:pPr>
      <w:r>
        <w:rPr>
          <w:sz w:val="21"/>
          <w:szCs w:val="21"/>
        </w:rPr>
        <w:t xml:space="preserve">Cortinas de seguridad: detectan intrusión en el área de trabajo y detienen el ciclo automático.</w:t>
      </w:r>
    </w:p>
    <w:p>
      <w:pPr>
        <w:pStyle w:val="ListParagraph"/>
        <w:numPr>
          <w:ilvl w:val="0"/>
          <w:numId w:val="2"/>
        </w:numPr>
        <w:spacing w:after="80"/>
      </w:pPr>
      <w:r>
        <w:rPr>
          <w:sz w:val="21"/>
          <w:szCs w:val="21"/>
        </w:rPr>
        <w:t xml:space="preserve">Switch de llave Automático/Mantenimiento, botón de reset y paro de emergencia: en el panel de control de la estación.</w:t>
      </w:r>
    </w:p>
    <w:p>
      <w:pPr>
        <w:pStyle w:val="ListParagraph"/>
        <w:numPr>
          <w:ilvl w:val="0"/>
          <w:numId w:val="2"/>
        </w:numPr>
        <w:spacing w:after="80"/>
      </w:pPr>
      <w:r>
        <w:rPr>
          <w:sz w:val="21"/>
          <w:szCs w:val="21"/>
        </w:rPr>
        <w:t xml:space="preserve">Switch general de desconexión (LOTO) y válvula de bloqueo/sangrado neumática (LOTO): puntos de aislamiento de energía para mantenimiento.</w:t>
      </w:r>
    </w:p>
    <w:tbl>
      <w:tblPr>
        <w:tblW w:type="dxa" w:w="9360"/>
        <w:tblBorders>
          <w:top w:val="single" w:color="3E7C8C" w:sz="12"/>
          <w:left w:val="single" w:color="3E7C8C" w:sz="12"/>
          <w:bottom w:val="single" w:color="3E7C8C" w:sz="12"/>
          <w:right w:val="single" w:color="3E7C8C" w:sz="12"/>
          <w:insideH w:val="single" w:color="auto" w:sz="4"/>
          <w:insideV w:val="single" w:color="auto" w:sz="4"/>
        </w:tblBorders>
      </w:tblPr>
      <w:tblGrid>
        <w:gridCol w:w="9360"/>
      </w:tblGrid>
      <w:tr>
        <w:tc>
          <w:tcPr>
            <w:tcW w:type="dxa" w:w="9360"/>
            <w:shd w:fill="E9F2F4" w:val="clear"/>
            <w:tcMar>
              <w:top w:type="dxa" w:w="140"/>
              <w:left w:type="dxa" w:w="160"/>
              <w:bottom w:type="dxa" w:w="140"/>
              <w:right w:type="dxa" w:w="160"/>
            </w:tcMar>
          </w:tcPr>
          <w:p>
            <w:r>
              <w:rPr>
                <w:b/>
                <w:bCs/>
                <w:color w:val="3E7C8C"/>
                <w:sz w:val="21"/>
                <w:szCs w:val="21"/>
              </w:rPr>
              <w:t xml:space="preserve">ℹ Fotografías pendientes</w:t>
            </w:r>
          </w:p>
          <w:p>
            <w:pPr>
              <w:spacing w:before="60"/>
            </w:pPr>
            <w:r>
              <w:rPr>
                <w:sz w:val="20"/>
                <w:szCs w:val="20"/>
              </w:rPr>
              <w:t xml:space="preserve">Este documento se entrega sin fotografías de la máquina física; Jabil agregará las imágenes correspondientes de cada Kasalis en una revisión posterior.</w:t>
            </w:r>
          </w:p>
        </w:tc>
      </w:tr>
    </w:tbl>
    <w:p>
      <w:pPr>
        <w:pStyle w:val="Heading1"/>
        <w:pBdr>
          <w:bottom w:val="single" w:color="3E7C8C" w:sz="6" w:space="4"/>
        </w:pBdr>
        <w:spacing w:after="200" w:before="400"/>
      </w:pPr>
      <w:r>
        <w:rPr>
          <w:b/>
          <w:bCs/>
          <w:color w:val="2E3A45"/>
          <w:sz w:val="30"/>
          <w:szCs w:val="30"/>
        </w:rPr>
        <w:t xml:space="preserve">4.  Seguridad</w:t>
      </w:r>
    </w:p>
    <w:tbl>
      <w:tblPr>
        <w:tblW w:type="dxa" w:w="9360"/>
        <w:tblBorders>
          <w:top w:val="single" w:color="C0392B" w:sz="12"/>
          <w:left w:val="single" w:color="C0392B" w:sz="12"/>
          <w:bottom w:val="single" w:color="C0392B" w:sz="12"/>
          <w:right w:val="single" w:color="C0392B" w:sz="12"/>
          <w:insideH w:val="single" w:color="auto" w:sz="4"/>
          <w:insideV w:val="single" w:color="auto" w:sz="4"/>
        </w:tblBorders>
      </w:tblPr>
      <w:tblGrid>
        <w:gridCol w:w="9360"/>
      </w:tblGrid>
      <w:tr>
        <w:tc>
          <w:tcPr>
            <w:tcW w:type="dxa" w:w="9360"/>
            <w:shd w:fill="FBEAEA" w:val="clear"/>
            <w:tcMar>
              <w:top w:type="dxa" w:w="140"/>
              <w:left w:type="dxa" w:w="160"/>
              <w:bottom w:type="dxa" w:w="140"/>
              <w:right w:type="dxa" w:w="160"/>
            </w:tcMar>
          </w:tcPr>
          <w:p>
            <w:r>
              <w:rPr>
                <w:b/>
                <w:bCs/>
                <w:color w:val="C0392B"/>
                <w:sz w:val="21"/>
                <w:szCs w:val="21"/>
              </w:rPr>
              <w:t xml:space="preserve">⚠ Punto de mayor riesgo de la máquina</w:t>
            </w:r>
          </w:p>
          <w:p>
            <w:pPr>
              <w:spacing w:before="60"/>
            </w:pPr>
            <w:r>
              <w:rPr>
                <w:sz w:val="20"/>
                <w:szCs w:val="20"/>
              </w:rPr>
              <w:t xml:space="preserve">El operador tiene contacto directo con una de las 4 estaciones de la torna-mesa al cargar la pieza manualmente: al colocarla, se activa el cilindro de clampeo de esa estación. Este es el punto de mayor riesgo de la Kasalis por el contacto directo del operador con un mecanismo de clampeo neumático. Se mitiga con el diseño de la estación y debe reforzarse con un dispositivo de control a dos manos y/o barrera física en el punto de carga (ver MRA/RA de la estación).</w:t>
            </w:r>
          </w:p>
        </w:tc>
      </w:tr>
    </w:tbl>
    <w:p>
      <w:pPr>
        <w:pStyle w:val="Heading2"/>
        <w:spacing w:after="140" w:before="260"/>
      </w:pPr>
      <w:r>
        <w:rPr>
          <w:b/>
          <w:bCs/>
          <w:color w:val="3E7C8C"/>
          <w:sz w:val="24"/>
          <w:szCs w:val="24"/>
        </w:rPr>
        <w:t xml:space="preserve">4.1 Dispositivos de seguridad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960"/>
      </w:tblGrid>
      <w:tr>
        <w:trPr>
          <w:tblHeader/>
        </w:trPr>
        <w:tc>
          <w:tcPr>
            <w:tcW w:type="dxa" w:w="3400"/>
            <w:shd w:fill="2E3A45" w:val="clear"/>
            <w:tcMar>
              <w:top w:type="dxa" w:w="90"/>
              <w:left w:type="dxa" w:w="120"/>
              <w:bottom w:type="dxa" w:w="90"/>
              <w:right w:type="dxa" w:w="120"/>
            </w:tcMar>
            <w:vAlign w:val="center"/>
          </w:tcPr>
          <w:p>
            <w:r>
              <w:rPr>
                <w:b/>
                <w:bCs/>
                <w:color w:val="FFFFFF"/>
                <w:sz w:val="19"/>
                <w:szCs w:val="19"/>
              </w:rPr>
              <w:t xml:space="preserve">Dispositivo</w:t>
            </w:r>
          </w:p>
        </w:tc>
        <w:tc>
          <w:tcPr>
            <w:tcW w:type="dxa" w:w="5960"/>
            <w:shd w:fill="2E3A45" w:val="clear"/>
            <w:tcMar>
              <w:top w:type="dxa" w:w="90"/>
              <w:left w:type="dxa" w:w="120"/>
              <w:bottom w:type="dxa" w:w="90"/>
              <w:right w:type="dxa" w:w="120"/>
            </w:tcMar>
            <w:vAlign w:val="center"/>
          </w:tcPr>
          <w:p>
            <w:r>
              <w:rPr>
                <w:b/>
                <w:bCs/>
                <w:color w:val="FFFFFF"/>
                <w:sz w:val="19"/>
                <w:szCs w:val="19"/>
              </w:rPr>
              <w:t xml:space="preserve">Función</w:t>
            </w:r>
          </w:p>
        </w:tc>
      </w:tr>
      <w:tr>
        <w:tc>
          <w:tcPr>
            <w:tcW w:type="dxa" w:w="3400"/>
            <w:shd w:fill="FFFFFF" w:val="clear"/>
            <w:tcMar>
              <w:top w:type="dxa" w:w="80"/>
              <w:left w:type="dxa" w:w="120"/>
              <w:bottom w:type="dxa" w:w="80"/>
              <w:right w:type="dxa" w:w="120"/>
            </w:tcMar>
            <w:vAlign w:val="center"/>
          </w:tcPr>
          <w:p>
            <w:r>
              <w:rPr>
                <w:sz w:val="19"/>
                <w:szCs w:val="19"/>
              </w:rPr>
              <w:t xml:space="preserve">Botón de paro de emergencia (E-Stop)</w:t>
            </w:r>
          </w:p>
        </w:tc>
        <w:tc>
          <w:tcPr>
            <w:tcW w:type="dxa" w:w="5960"/>
            <w:shd w:fill="FFFFFF" w:val="clear"/>
            <w:tcMar>
              <w:top w:type="dxa" w:w="80"/>
              <w:left w:type="dxa" w:w="120"/>
              <w:bottom w:type="dxa" w:w="80"/>
              <w:right w:type="dxa" w:w="120"/>
            </w:tcMar>
            <w:vAlign w:val="center"/>
          </w:tcPr>
          <w:p>
            <w:r>
              <w:rPr>
                <w:sz w:val="19"/>
                <w:szCs w:val="19"/>
              </w:rPr>
              <w:t xml:space="preserve">Detiene inmediatamente todo movimiento de la máquina (torna-mesa, ambos gantries, clampeos).</w:t>
            </w:r>
          </w:p>
        </w:tc>
      </w:tr>
      <w:tr>
        <w:tc>
          <w:tcPr>
            <w:tcW w:type="dxa" w:w="3400"/>
            <w:shd w:fill="F2F2F2" w:val="clear"/>
            <w:tcMar>
              <w:top w:type="dxa" w:w="80"/>
              <w:left w:type="dxa" w:w="120"/>
              <w:bottom w:type="dxa" w:w="80"/>
              <w:right w:type="dxa" w:w="120"/>
            </w:tcMar>
            <w:vAlign w:val="center"/>
          </w:tcPr>
          <w:p>
            <w:r>
              <w:rPr>
                <w:sz w:val="19"/>
                <w:szCs w:val="19"/>
              </w:rPr>
              <w:t xml:space="preserve">Switch de llave Automático / Mantenimiento</w:t>
            </w:r>
          </w:p>
        </w:tc>
        <w:tc>
          <w:tcPr>
            <w:tcW w:type="dxa" w:w="5960"/>
            <w:shd w:fill="F2F2F2" w:val="clear"/>
            <w:tcMar>
              <w:top w:type="dxa" w:w="80"/>
              <w:left w:type="dxa" w:w="120"/>
              <w:bottom w:type="dxa" w:w="80"/>
              <w:right w:type="dxa" w:w="120"/>
            </w:tcMar>
            <w:vAlign w:val="center"/>
          </w:tcPr>
          <w:p>
            <w:r>
              <w:rPr>
                <w:sz w:val="19"/>
                <w:szCs w:val="19"/>
              </w:rPr>
              <w:t xml:space="preserve">Selecciona el modo de operación; en modo Mantenimiento se deshabilita el ciclo automático.</w:t>
            </w:r>
          </w:p>
        </w:tc>
      </w:tr>
      <w:tr>
        <w:tc>
          <w:tcPr>
            <w:tcW w:type="dxa" w:w="3400"/>
            <w:shd w:fill="FFFFFF" w:val="clear"/>
            <w:tcMar>
              <w:top w:type="dxa" w:w="80"/>
              <w:left w:type="dxa" w:w="120"/>
              <w:bottom w:type="dxa" w:w="80"/>
              <w:right w:type="dxa" w:w="120"/>
            </w:tcMar>
            <w:vAlign w:val="center"/>
          </w:tcPr>
          <w:p>
            <w:r>
              <w:rPr>
                <w:sz w:val="19"/>
                <w:szCs w:val="19"/>
              </w:rPr>
              <w:t xml:space="preserve">Cortinas de seguridad</w:t>
            </w:r>
          </w:p>
        </w:tc>
        <w:tc>
          <w:tcPr>
            <w:tcW w:type="dxa" w:w="5960"/>
            <w:shd w:fill="FFFFFF" w:val="clear"/>
            <w:tcMar>
              <w:top w:type="dxa" w:w="80"/>
              <w:left w:type="dxa" w:w="120"/>
              <w:bottom w:type="dxa" w:w="80"/>
              <w:right w:type="dxa" w:w="120"/>
            </w:tcMar>
            <w:vAlign w:val="center"/>
          </w:tcPr>
          <w:p>
            <w:r>
              <w:rPr>
                <w:sz w:val="19"/>
                <w:szCs w:val="19"/>
              </w:rPr>
              <w:t xml:space="preserve">Detectan intrusión en el área de trabajo y detienen el ciclo automático de la torna-mesa y ambos gantries.</w:t>
            </w:r>
          </w:p>
        </w:tc>
      </w:tr>
      <w:tr>
        <w:tc>
          <w:tcPr>
            <w:tcW w:type="dxa" w:w="3400"/>
            <w:shd w:fill="F2F2F2" w:val="clear"/>
            <w:tcMar>
              <w:top w:type="dxa" w:w="80"/>
              <w:left w:type="dxa" w:w="120"/>
              <w:bottom w:type="dxa" w:w="80"/>
              <w:right w:type="dxa" w:w="120"/>
            </w:tcMar>
            <w:vAlign w:val="center"/>
          </w:tcPr>
          <w:p>
            <w:r>
              <w:rPr>
                <w:sz w:val="19"/>
                <w:szCs w:val="19"/>
              </w:rPr>
              <w:t xml:space="preserve">Interlocks en las puertas de acceso</w:t>
            </w:r>
          </w:p>
        </w:tc>
        <w:tc>
          <w:tcPr>
            <w:tcW w:type="dxa" w:w="5960"/>
            <w:shd w:fill="F2F2F2" w:val="clear"/>
            <w:tcMar>
              <w:top w:type="dxa" w:w="80"/>
              <w:left w:type="dxa" w:w="120"/>
              <w:bottom w:type="dxa" w:w="80"/>
              <w:right w:type="dxa" w:w="120"/>
            </w:tcMar>
            <w:vAlign w:val="center"/>
          </w:tcPr>
          <w:p>
            <w:r>
              <w:rPr>
                <w:sz w:val="19"/>
                <w:szCs w:val="19"/>
              </w:rPr>
              <w:t xml:space="preserve">Detienen la máquina si una puerta se abre durante el ciclo automático.</w:t>
            </w:r>
          </w:p>
        </w:tc>
      </w:tr>
      <w:tr>
        <w:tc>
          <w:tcPr>
            <w:tcW w:type="dxa" w:w="3400"/>
            <w:shd w:fill="FFFFFF" w:val="clear"/>
            <w:tcMar>
              <w:top w:type="dxa" w:w="80"/>
              <w:left w:type="dxa" w:w="120"/>
              <w:bottom w:type="dxa" w:w="80"/>
              <w:right w:type="dxa" w:w="120"/>
            </w:tcMar>
            <w:vAlign w:val="center"/>
          </w:tcPr>
          <w:p>
            <w:r>
              <w:rPr>
                <w:sz w:val="19"/>
                <w:szCs w:val="19"/>
              </w:rPr>
              <w:t xml:space="preserve">Switch general de desconexión (LOTO)</w:t>
            </w:r>
          </w:p>
        </w:tc>
        <w:tc>
          <w:tcPr>
            <w:tcW w:type="dxa" w:w="5960"/>
            <w:shd w:fill="FFFFFF" w:val="clear"/>
            <w:tcMar>
              <w:top w:type="dxa" w:w="80"/>
              <w:left w:type="dxa" w:w="120"/>
              <w:bottom w:type="dxa" w:w="80"/>
              <w:right w:type="dxa" w:w="120"/>
            </w:tcMar>
            <w:vAlign w:val="center"/>
          </w:tcPr>
          <w:p>
            <w:r>
              <w:rPr>
                <w:sz w:val="19"/>
                <w:szCs w:val="19"/>
              </w:rPr>
              <w:t xml:space="preserve">Aísla la energía eléctrica principal; punto de bloqueo y etiquetado para mantenimiento.</w:t>
            </w:r>
          </w:p>
        </w:tc>
      </w:tr>
      <w:tr>
        <w:tc>
          <w:tcPr>
            <w:tcW w:type="dxa" w:w="3400"/>
            <w:shd w:fill="F2F2F2" w:val="clear"/>
            <w:tcMar>
              <w:top w:type="dxa" w:w="80"/>
              <w:left w:type="dxa" w:w="120"/>
              <w:bottom w:type="dxa" w:w="80"/>
              <w:right w:type="dxa" w:w="120"/>
            </w:tcMar>
            <w:vAlign w:val="center"/>
          </w:tcPr>
          <w:p>
            <w:r>
              <w:rPr>
                <w:sz w:val="19"/>
                <w:szCs w:val="19"/>
              </w:rPr>
              <w:t xml:space="preserve">Válvula de bloqueo/sangrado neumática (LOTO)</w:t>
            </w:r>
          </w:p>
        </w:tc>
        <w:tc>
          <w:tcPr>
            <w:tcW w:type="dxa" w:w="5960"/>
            <w:shd w:fill="F2F2F2" w:val="clear"/>
            <w:tcMar>
              <w:top w:type="dxa" w:w="80"/>
              <w:left w:type="dxa" w:w="120"/>
              <w:bottom w:type="dxa" w:w="80"/>
              <w:right w:type="dxa" w:w="120"/>
            </w:tcMar>
            <w:vAlign w:val="center"/>
          </w:tcPr>
          <w:p>
            <w:r>
              <w:rPr>
                <w:sz w:val="19"/>
                <w:szCs w:val="19"/>
              </w:rPr>
              <w:t xml:space="preserve">Aísla y despresuriza el circuito neumático (cilindros de clampeo) para mantenimiento seguro.</w:t>
            </w:r>
          </w:p>
        </w:tc>
      </w:tr>
      <w:tr>
        <w:tc>
          <w:tcPr>
            <w:tcW w:type="dxa" w:w="3400"/>
            <w:shd w:fill="FFFFFF" w:val="clear"/>
            <w:tcMar>
              <w:top w:type="dxa" w:w="80"/>
              <w:left w:type="dxa" w:w="120"/>
              <w:bottom w:type="dxa" w:w="80"/>
              <w:right w:type="dxa" w:w="120"/>
            </w:tcMar>
            <w:vAlign w:val="center"/>
          </w:tcPr>
          <w:p>
            <w:r>
              <w:rPr>
                <w:sz w:val="19"/>
                <w:szCs w:val="19"/>
              </w:rPr>
              <w:t xml:space="preserve">Botón de reset</w:t>
            </w:r>
          </w:p>
        </w:tc>
        <w:tc>
          <w:tcPr>
            <w:tcW w:type="dxa" w:w="5960"/>
            <w:shd w:fill="FFFFFF" w:val="clear"/>
            <w:tcMar>
              <w:top w:type="dxa" w:w="80"/>
              <w:left w:type="dxa" w:w="120"/>
              <w:bottom w:type="dxa" w:w="80"/>
              <w:right w:type="dxa" w:w="120"/>
            </w:tcMar>
            <w:vAlign w:val="center"/>
          </w:tcPr>
          <w:p>
            <w:r>
              <w:rPr>
                <w:sz w:val="19"/>
                <w:szCs w:val="19"/>
              </w:rPr>
              <w:t xml:space="preserve">Reinicia la máquina después de un paro, una vez despejada la condición.</w:t>
            </w:r>
          </w:p>
        </w:tc>
      </w:tr>
    </w:tbl>
    <w:p>
      <w:pPr>
        <w:pStyle w:val="Heading2"/>
        <w:spacing w:after="140" w:before="260"/>
      </w:pPr>
      <w:r>
        <w:rPr>
          <w:b/>
          <w:bCs/>
          <w:color w:val="3E7C8C"/>
          <w:sz w:val="24"/>
          <w:szCs w:val="24"/>
        </w:rPr>
        <w:t xml:space="preserve">4.2 Riesgos residuales y su control</w:t>
      </w:r>
    </w:p>
    <w:p>
      <w:pPr>
        <w:spacing w:after="160" w:line="300"/>
      </w:pPr>
      <w:r>
        <w:rPr>
          <w:sz w:val="21"/>
          <w:szCs w:val="21"/>
        </w:rPr>
        <w:t xml:space="preserve">El riesgo de arranque o movimiento inesperado durante la operación normal (torna-mesa, gantries o cilindros de clampeo) se controla con las cortinas de seguridad y los interlocks de las puertas, que detienen el ciclo automático de inmediato.</w:t>
      </w:r>
    </w:p>
    <w:p>
      <w:pPr>
        <w:spacing w:after="160" w:line="300"/>
      </w:pPr>
      <w:r>
        <w:rPr>
          <w:sz w:val="21"/>
          <w:szCs w:val="21"/>
        </w:rPr>
        <w:t xml:space="preserve">Durante el mantenimiento, el mismo riesgo se controla aplicando el procedimiento de bloqueo y etiquetado (LOTO): se coloca el switch de llave en modo Mantenimiento y se bloquea tanto la energía eléctrica en el switch general como la energía neumática en la válvula de bloqueo/sangrado dedicada.</w:t>
      </w:r>
    </w:p>
    <w:p>
      <w:pPr>
        <w:spacing w:after="160" w:line="300"/>
      </w:pPr>
      <w:r>
        <w:rPr>
          <w:sz w:val="21"/>
          <w:szCs w:val="21"/>
        </w:rPr>
        <w:t xml:space="preserve">El adhesivo DELO es un químico de riesgo bajo-moderado (irritante); el contacto puede ocurrir durante limpieza de la boquilla dispensadora o cambio de cartucho. Consultar la hoja de datos de seguridad (SDS) del producto y usar guantes adecuados durante estas tareas.</w:t>
      </w:r>
    </w:p>
    <w:p>
      <w:pPr>
        <w:pStyle w:val="Heading2"/>
        <w:spacing w:after="140" w:before="260"/>
      </w:pPr>
      <w:r>
        <w:rPr>
          <w:b/>
          <w:bCs/>
          <w:color w:val="3E7C8C"/>
          <w:sz w:val="24"/>
          <w:szCs w:val="24"/>
        </w:rPr>
        <w:t xml:space="preserve">4.3 Reglas generales de seguridad</w:t>
      </w:r>
    </w:p>
    <w:p>
      <w:pPr>
        <w:pStyle w:val="ListParagraph"/>
        <w:numPr>
          <w:ilvl w:val="0"/>
          <w:numId w:val="3"/>
        </w:numPr>
        <w:spacing w:after="100"/>
      </w:pPr>
      <w:r>
        <w:rPr>
          <w:sz w:val="21"/>
          <w:szCs w:val="21"/>
        </w:rPr>
        <w:t xml:space="preserve">No retire, desactive ni puentee las cortinas de seguridad, los interlocks de puerta ni el E-Stop bajo ninguna circunstancia.</w:t>
      </w:r>
    </w:p>
    <w:p>
      <w:pPr>
        <w:pStyle w:val="ListParagraph"/>
        <w:numPr>
          <w:ilvl w:val="0"/>
          <w:numId w:val="3"/>
        </w:numPr>
        <w:spacing w:after="100"/>
      </w:pPr>
      <w:r>
        <w:rPr>
          <w:sz w:val="21"/>
          <w:szCs w:val="21"/>
        </w:rPr>
        <w:t xml:space="preserve">No introduzca las manos en el área de trabajo mientras la máquina esté en ciclo automático.</w:t>
      </w:r>
    </w:p>
    <w:p>
      <w:pPr>
        <w:pStyle w:val="ListParagraph"/>
        <w:numPr>
          <w:ilvl w:val="0"/>
          <w:numId w:val="3"/>
        </w:numPr>
        <w:spacing w:after="100"/>
      </w:pPr>
      <w:r>
        <w:rPr>
          <w:sz w:val="21"/>
          <w:szCs w:val="21"/>
        </w:rPr>
        <w:t xml:space="preserve">Antes de cualquier tarea de mantenimiento, coloque el switch de llave en modo Mantenimiento y aplique LOTO eléctrico Y neumático.</w:t>
      </w:r>
    </w:p>
    <w:p>
      <w:pPr>
        <w:pStyle w:val="ListParagraph"/>
        <w:numPr>
          <w:ilvl w:val="0"/>
          <w:numId w:val="3"/>
        </w:numPr>
        <w:spacing w:after="100"/>
      </w:pPr>
      <w:r>
        <w:rPr>
          <w:sz w:val="21"/>
          <w:szCs w:val="21"/>
        </w:rPr>
        <w:t xml:space="preserve">Use guantes al manipular el adhesivo DELO durante limpieza de boquilla o cambio de cartucho.</w:t>
      </w:r>
    </w:p>
    <w:p>
      <w:pPr>
        <w:pStyle w:val="ListParagraph"/>
        <w:numPr>
          <w:ilvl w:val="0"/>
          <w:numId w:val="3"/>
        </w:numPr>
        <w:spacing w:after="100"/>
      </w:pPr>
      <w:r>
        <w:rPr>
          <w:sz w:val="21"/>
          <w:szCs w:val="21"/>
        </w:rPr>
        <w:t xml:space="preserve">Reporte cualquier daño visible en cableado, guardas, interlocks o dispositivos de seguridad antes de operar la máquina.</w:t>
      </w:r>
    </w:p>
    <w:p>
      <w:pPr>
        <w:pStyle w:val="Heading1"/>
        <w:pBdr>
          <w:bottom w:val="single" w:color="3E7C8C" w:sz="6" w:space="4"/>
        </w:pBdr>
        <w:spacing w:after="200" w:before="400"/>
      </w:pPr>
      <w:r>
        <w:rPr>
          <w:b/>
          <w:bCs/>
          <w:color w:val="2E3A45"/>
          <w:sz w:val="30"/>
          <w:szCs w:val="30"/>
        </w:rPr>
        <w:t xml:space="preserve">5.  Operación Normal</w:t>
      </w:r>
    </w:p>
    <w:p>
      <w:pPr>
        <w:pStyle w:val="ListParagraph"/>
        <w:numPr>
          <w:ilvl w:val="0"/>
          <w:numId w:val="3"/>
        </w:numPr>
        <w:spacing w:after="100"/>
      </w:pPr>
      <w:r>
        <w:rPr>
          <w:sz w:val="21"/>
          <w:szCs w:val="21"/>
        </w:rPr>
        <w:t xml:space="preserve">Al inicio de turno, energice la estación y verifique que las cortinas de seguridad, interlocks, E-Stop y switch de llave respondan correctamente.</w:t>
      </w:r>
    </w:p>
    <w:p>
      <w:pPr>
        <w:pStyle w:val="ListParagraph"/>
        <w:numPr>
          <w:ilvl w:val="0"/>
          <w:numId w:val="3"/>
        </w:numPr>
        <w:spacing w:after="100"/>
      </w:pPr>
      <w:r>
        <w:rPr>
          <w:sz w:val="21"/>
          <w:szCs w:val="21"/>
        </w:rPr>
        <w:t xml:space="preserve">La torna-mesa gira para presentar cada una de sus 4 estaciones a la operación correspondiente.</w:t>
      </w:r>
    </w:p>
    <w:p>
      <w:pPr>
        <w:pStyle w:val="ListParagraph"/>
        <w:numPr>
          <w:ilvl w:val="0"/>
          <w:numId w:val="3"/>
        </w:numPr>
        <w:spacing w:after="100"/>
      </w:pPr>
      <w:r>
        <w:rPr>
          <w:sz w:val="21"/>
          <w:szCs w:val="21"/>
        </w:rPr>
        <w:t xml:space="preserve">El operador carga manualmente la pieza en la estación de carga; al colocarla se activa el cilindro de clampeo de esa estación (punto de mayor riesgo, ver Sección 4).</w:t>
      </w:r>
    </w:p>
    <w:p>
      <w:pPr>
        <w:pStyle w:val="ListParagraph"/>
        <w:numPr>
          <w:ilvl w:val="0"/>
          <w:numId w:val="3"/>
        </w:numPr>
        <w:spacing w:after="100"/>
      </w:pPr>
      <w:r>
        <w:rPr>
          <w:sz w:val="21"/>
          <w:szCs w:val="21"/>
        </w:rPr>
        <w:t xml:space="preserve">La torna-mesa gira la pieza hacia el mini-gantry de dispensado, que aplica el adhesivo DELO en el patrón correspondiente al modelo en proceso.</w:t>
      </w:r>
    </w:p>
    <w:p>
      <w:pPr>
        <w:pStyle w:val="ListParagraph"/>
        <w:numPr>
          <w:ilvl w:val="0"/>
          <w:numId w:val="3"/>
        </w:numPr>
        <w:spacing w:after="100"/>
      </w:pPr>
      <w:r>
        <w:rPr>
          <w:sz w:val="21"/>
          <w:szCs w:val="21"/>
        </w:rPr>
        <w:t xml:space="preserve">El sistema óptico realiza la alineación: el eje Z ajusta el enfoque con retroalimentación de la lectura del pogo de contacto (MTF).</w:t>
      </w:r>
    </w:p>
    <w:p>
      <w:pPr>
        <w:pStyle w:val="ListParagraph"/>
        <w:numPr>
          <w:ilvl w:val="0"/>
          <w:numId w:val="3"/>
        </w:numPr>
        <w:spacing w:after="100"/>
      </w:pPr>
      <w:r>
        <w:rPr>
          <w:sz w:val="21"/>
          <w:szCs w:val="21"/>
        </w:rPr>
        <w:t xml:space="preserve">La fuente UV cura el adhesivo DELO dispensado.</w:t>
      </w:r>
    </w:p>
    <w:p>
      <w:pPr>
        <w:pStyle w:val="ListParagraph"/>
        <w:numPr>
          <w:ilvl w:val="0"/>
          <w:numId w:val="3"/>
        </w:numPr>
        <w:spacing w:after="100"/>
      </w:pPr>
      <w:r>
        <w:rPr>
          <w:sz w:val="21"/>
          <w:szCs w:val="21"/>
        </w:rPr>
        <w:t xml:space="preserve">Se realiza la inspección final de MTF para verificar que la pieza cumple la especificación óptica.</w:t>
      </w:r>
    </w:p>
    <w:p>
      <w:pPr>
        <w:pStyle w:val="ListParagraph"/>
        <w:numPr>
          <w:ilvl w:val="0"/>
          <w:numId w:val="3"/>
        </w:numPr>
        <w:spacing w:after="100"/>
      </w:pPr>
      <w:r>
        <w:rPr>
          <w:sz w:val="21"/>
          <w:szCs w:val="21"/>
        </w:rPr>
        <w:t xml:space="preserve">El mini-gantry de PnP retira la pieza terminada (o la reposiciona según el flujo) mediante su gripper.</w:t>
      </w:r>
    </w:p>
    <w:p>
      <w:pPr>
        <w:pStyle w:val="ListParagraph"/>
        <w:numPr>
          <w:ilvl w:val="0"/>
          <w:numId w:val="3"/>
        </w:numPr>
        <w:spacing w:after="100"/>
      </w:pPr>
      <w:r>
        <w:rPr>
          <w:sz w:val="21"/>
          <w:szCs w:val="21"/>
        </w:rPr>
        <w:t xml:space="preserve">La torna-mesa continúa girando para repetir el ciclo en las estaciones restantes.</w:t>
      </w:r>
    </w:p>
    <w:p>
      <w:pPr>
        <w:pStyle w:val="Heading1"/>
        <w:pBdr>
          <w:bottom w:val="single" w:color="3E7C8C" w:sz="6" w:space="4"/>
        </w:pBdr>
        <w:spacing w:after="200" w:before="400"/>
      </w:pPr>
      <w:r>
        <w:rPr>
          <w:b/>
          <w:bCs/>
          <w:color w:val="2E3A45"/>
          <w:sz w:val="30"/>
          <w:szCs w:val="30"/>
        </w:rPr>
        <w:t xml:space="preserve">6.  Cambio de Modelo</w:t>
      </w:r>
    </w:p>
    <w:p>
      <w:pPr>
        <w:spacing w:after="160" w:line="300"/>
      </w:pPr>
      <w:r>
        <w:rPr>
          <w:sz w:val="21"/>
          <w:szCs w:val="21"/>
        </w:rPr>
        <w:t xml:space="preserve">La mecánica y electrónica de la Kasalis no cambian de un modelo a otro; solo cambian los parámetros de visión (VIS) y el patrón/offsets de dispensado de DELO. Los procedimientos de cambio de modelo son los siguientes.</w:t>
      </w:r>
    </w:p>
    <w:p>
      <w:pPr>
        <w:pStyle w:val="Heading2"/>
        <w:spacing w:after="140" w:before="260"/>
      </w:pPr>
      <w:r>
        <w:rPr>
          <w:b/>
          <w:bCs/>
          <w:color w:val="3E7C8C"/>
          <w:sz w:val="24"/>
          <w:szCs w:val="24"/>
        </w:rPr>
        <w:t xml:space="preserve">6.1 Cambio a MOOSE — subir el dispensador</w:t>
      </w:r>
    </w:p>
    <w:p>
      <w:pPr>
        <w:spacing w:after="160" w:line="300"/>
      </w:pPr>
      <w:r>
        <w:rPr>
          <w:sz w:val="21"/>
          <w:szCs w:val="21"/>
        </w:rPr>
        <w:t xml:space="preserve">MOOSE es un diseño compacto 3D donde la lente queda más profunda dentro del adaptador. Al cambiar a este modelo, el dispensador debe subirse manualmente para evitar que choque con el lente durante el dispensado. Verificar la altura del dispensador antes de iniciar producción de MOOSE.</w:t>
      </w:r>
    </w:p>
    <w:p>
      <w:pPr>
        <w:pStyle w:val="Heading2"/>
        <w:spacing w:after="140" w:before="260"/>
      </w:pPr>
      <w:r>
        <w:rPr>
          <w:b/>
          <w:bCs/>
          <w:color w:val="3E7C8C"/>
          <w:sz w:val="24"/>
          <w:szCs w:val="24"/>
        </w:rPr>
        <w:t xml:space="preserve">6.2 Cambio de DELO (cartucho de adhesivo)</w:t>
      </w:r>
    </w:p>
    <w:p>
      <w:pPr>
        <w:pStyle w:val="ListParagraph"/>
        <w:numPr>
          <w:ilvl w:val="0"/>
          <w:numId w:val="3"/>
        </w:numPr>
        <w:spacing w:after="100"/>
      </w:pPr>
      <w:r>
        <w:rPr>
          <w:sz w:val="21"/>
          <w:szCs w:val="21"/>
        </w:rPr>
        <w:t xml:space="preserve">Retire el cartucho vacío o próximo a caducar (recomendado no usar cartucho con más de 3 meses de antigüedad, ya que la viscosidad se vuelve inconsistente).</w:t>
      </w:r>
    </w:p>
    <w:p>
      <w:pPr>
        <w:pStyle w:val="ListParagraph"/>
        <w:numPr>
          <w:ilvl w:val="0"/>
          <w:numId w:val="3"/>
        </w:numPr>
        <w:spacing w:after="100"/>
      </w:pPr>
      <w:r>
        <w:rPr>
          <w:sz w:val="21"/>
          <w:szCs w:val="21"/>
        </w:rPr>
        <w:t xml:space="preserve">Instale el cartucho nuevo en el dispensador ViscoTech ECO-PEN450.</w:t>
      </w:r>
    </w:p>
    <w:p>
      <w:pPr>
        <w:pStyle w:val="ListParagraph"/>
        <w:numPr>
          <w:ilvl w:val="0"/>
          <w:numId w:val="3"/>
        </w:numPr>
        <w:spacing w:after="100"/>
      </w:pPr>
      <w:r>
        <w:rPr>
          <w:sz w:val="21"/>
          <w:szCs w:val="21"/>
        </w:rPr>
        <w:t xml:space="preserve">Purgue el sistema hasta que el flujo sea continuo y sin burbujas de aire antes de reanudar producción (ver Sección 7.1).</w:t>
      </w:r>
    </w:p>
    <w:p>
      <w:pPr>
        <w:pStyle w:val="Heading2"/>
        <w:spacing w:after="140" w:before="260"/>
      </w:pPr>
      <w:r>
        <w:rPr>
          <w:b/>
          <w:bCs/>
          <w:color w:val="3E7C8C"/>
          <w:sz w:val="24"/>
          <w:szCs w:val="24"/>
        </w:rPr>
        <w:t xml:space="preserve">6.3 Cambio de modelo (procedimiento general)</w:t>
      </w:r>
    </w:p>
    <w:p>
      <w:pPr>
        <w:pStyle w:val="ListParagraph"/>
        <w:numPr>
          <w:ilvl w:val="0"/>
          <w:numId w:val="3"/>
        </w:numPr>
        <w:spacing w:after="100"/>
      </w:pPr>
      <w:r>
        <w:rPr>
          <w:sz w:val="21"/>
          <w:szCs w:val="21"/>
        </w:rPr>
        <w:t xml:space="preserve">Seleccione el modelo correspondiente en el HMI (esto carga los parámetros VIS y los offsets de dispensado guardados para ese modelo).</w:t>
      </w:r>
    </w:p>
    <w:p>
      <w:pPr>
        <w:pStyle w:val="ListParagraph"/>
        <w:numPr>
          <w:ilvl w:val="0"/>
          <w:numId w:val="3"/>
        </w:numPr>
        <w:spacing w:after="100"/>
      </w:pPr>
      <w:r>
        <w:rPr>
          <w:sz w:val="21"/>
          <w:szCs w:val="21"/>
        </w:rPr>
        <w:t xml:space="preserve">Verifique/ajuste la altura del dispensador si el modelo lo requiere (ej. MOOSE, ver Sección 6.1).</w:t>
      </w:r>
    </w:p>
    <w:p>
      <w:pPr>
        <w:pStyle w:val="ListParagraph"/>
        <w:numPr>
          <w:ilvl w:val="0"/>
          <w:numId w:val="3"/>
        </w:numPr>
        <w:spacing w:after="100"/>
      </w:pPr>
      <w:r>
        <w:rPr>
          <w:sz w:val="21"/>
          <w:szCs w:val="21"/>
        </w:rPr>
        <w:t xml:space="preserve">Realice el cambio de plato si el nuevo modelo lo requiere (ver Sección 6.4).</w:t>
      </w:r>
    </w:p>
    <w:p>
      <w:pPr>
        <w:pStyle w:val="ListParagraph"/>
        <w:numPr>
          <w:ilvl w:val="0"/>
          <w:numId w:val="3"/>
        </w:numPr>
        <w:spacing w:after="100"/>
      </w:pPr>
      <w:r>
        <w:rPr>
          <w:sz w:val="21"/>
          <w:szCs w:val="21"/>
        </w:rPr>
        <w:t xml:space="preserve">Corra una pieza de prueba y confirme dispensado, alineación (MTF) y curado correctos antes de liberar producción.</w:t>
      </w:r>
    </w:p>
    <w:tbl>
      <w:tblPr>
        <w:tblW w:type="dxa" w:w="9360"/>
        <w:tblBorders>
          <w:top w:val="single" w:color="C0392B" w:sz="12"/>
          <w:left w:val="single" w:color="C0392B" w:sz="12"/>
          <w:bottom w:val="single" w:color="C0392B" w:sz="12"/>
          <w:right w:val="single" w:color="C0392B" w:sz="12"/>
          <w:insideH w:val="single" w:color="auto" w:sz="4"/>
          <w:insideV w:val="single" w:color="auto" w:sz="4"/>
        </w:tblBorders>
      </w:tblPr>
      <w:tblGrid>
        <w:gridCol w:w="9360"/>
      </w:tblGrid>
      <w:tr>
        <w:tc>
          <w:tcPr>
            <w:tcW w:type="dxa" w:w="9360"/>
            <w:shd w:fill="FBEAEA" w:val="clear"/>
            <w:tcMar>
              <w:top w:type="dxa" w:w="140"/>
              <w:left w:type="dxa" w:w="160"/>
              <w:bottom w:type="dxa" w:w="140"/>
              <w:right w:type="dxa" w:w="160"/>
            </w:tcMar>
          </w:tcPr>
          <w:p>
            <w:r>
              <w:rPr>
                <w:b/>
                <w:bCs/>
                <w:color w:val="C0392B"/>
                <w:sz w:val="21"/>
                <w:szCs w:val="21"/>
              </w:rPr>
              <w:t xml:space="preserve">⚠ Fuente de error frecuente</w:t>
            </w:r>
          </w:p>
          <w:p>
            <w:pPr>
              <w:spacing w:before="60"/>
            </w:pPr>
            <w:r>
              <w:rPr>
                <w:sz w:val="20"/>
                <w:szCs w:val="20"/>
              </w:rPr>
              <w:t xml:space="preserve">SCORPION tiene 4 variantes de FOV (76°, 95°, 131°/135°, 133.4°) que requieren cambiar los parámetros VIS en la Kasalis cada vez. Confirmar SIEMPRE el modelo/variante correcto en el HMI antes de producir, ya que seleccionar el parámetro incorrecto es una fuente conocida de error de setup.</w:t>
            </w:r>
          </w:p>
        </w:tc>
      </w:tr>
    </w:tbl>
    <w:p>
      <w:pPr>
        <w:pStyle w:val="Heading2"/>
        <w:spacing w:after="140" w:before="260"/>
      </w:pPr>
      <w:r>
        <w:rPr>
          <w:b/>
          <w:bCs/>
          <w:color w:val="3E7C8C"/>
          <w:sz w:val="24"/>
          <w:szCs w:val="24"/>
        </w:rPr>
        <w:t xml:space="preserve">6.4 Cambio de plato</w:t>
      </w:r>
    </w:p>
    <w:p>
      <w:pPr>
        <w:spacing w:after="160" w:line="300"/>
      </w:pPr>
      <w:r>
        <w:rPr>
          <w:sz w:val="21"/>
          <w:szCs w:val="21"/>
        </w:rPr>
        <w:t xml:space="preserve">El plato de la torna-mesa se cambia cuando el modelo requiere una geometría de sujeción distinta. Aplique LOTO antes de retirar el plato, sustitúyalo por el correspondiente al modelo y verifique su centrado antes de reanudar producción.</w:t>
      </w:r>
    </w:p>
    <w:p>
      <w:pPr>
        <w:pStyle w:val="Heading2"/>
        <w:spacing w:after="140" w:before="260"/>
      </w:pPr>
      <w:r>
        <w:rPr>
          <w:b/>
          <w:bCs/>
          <w:color w:val="3E7C8C"/>
          <w:sz w:val="24"/>
          <w:szCs w:val="24"/>
        </w:rPr>
        <w:t xml:space="preserve">6.5 Cómo abrir cada modelo en cada Kasalis</w:t>
      </w:r>
    </w:p>
    <w:tbl>
      <w:tblPr>
        <w:tblW w:type="dxa" w:w="9360"/>
        <w:tblBorders>
          <w:top w:val="single" w:color="3E7C8C" w:sz="12"/>
          <w:left w:val="single" w:color="3E7C8C" w:sz="12"/>
          <w:bottom w:val="single" w:color="3E7C8C" w:sz="12"/>
          <w:right w:val="single" w:color="3E7C8C" w:sz="12"/>
          <w:insideH w:val="single" w:color="auto" w:sz="4"/>
          <w:insideV w:val="single" w:color="auto" w:sz="4"/>
        </w:tblBorders>
      </w:tblPr>
      <w:tblGrid>
        <w:gridCol w:w="9360"/>
      </w:tblGrid>
      <w:tr>
        <w:tc>
          <w:tcPr>
            <w:tcW w:type="dxa" w:w="9360"/>
            <w:shd w:fill="E9F2F4" w:val="clear"/>
            <w:tcMar>
              <w:top w:type="dxa" w:w="140"/>
              <w:left w:type="dxa" w:w="160"/>
              <w:bottom w:type="dxa" w:w="140"/>
              <w:right w:type="dxa" w:w="160"/>
            </w:tcMar>
          </w:tcPr>
          <w:p>
            <w:r>
              <w:rPr>
                <w:b/>
                <w:bCs/>
                <w:color w:val="3E7C8C"/>
                <w:sz w:val="21"/>
                <w:szCs w:val="21"/>
              </w:rPr>
              <w:t xml:space="preserve">ℹ Procedimiento específico por unidad</w:t>
            </w:r>
          </w:p>
          <w:p>
            <w:pPr>
              <w:spacing w:before="60"/>
            </w:pPr>
            <w:r>
              <w:rPr>
                <w:sz w:val="20"/>
                <w:szCs w:val="20"/>
              </w:rPr>
              <w:t xml:space="preserve">El procedimiento exacto para abrir/acceder a la fixture de cada modelo puede variar ligeramente entre unidades de Kasalis instaladas en planta. Este manual no sustituye el SOP específico de Jabil por número de máquina; consulte dicho SOP o al personal de mantenimiento capacitado para el detalle exacto de apertura por modelo y por unidad.</w:t>
            </w:r>
          </w:p>
        </w:tc>
      </w:tr>
    </w:tbl>
    <w:p>
      <w:pPr>
        <w:pStyle w:val="Heading1"/>
        <w:pBdr>
          <w:bottom w:val="single" w:color="3E7C8C" w:sz="6" w:space="4"/>
        </w:pBdr>
        <w:spacing w:after="200" w:before="400"/>
      </w:pPr>
      <w:r>
        <w:rPr>
          <w:b/>
          <w:bCs/>
          <w:color w:val="2E3A45"/>
          <w:sz w:val="30"/>
          <w:szCs w:val="30"/>
        </w:rPr>
        <w:t xml:space="preserve">7.  Guía de Solución de Fallas</w:t>
      </w:r>
    </w:p>
    <w:p>
      <w:pPr>
        <w:pStyle w:val="Heading2"/>
        <w:spacing w:after="140" w:before="260"/>
      </w:pPr>
      <w:r>
        <w:rPr>
          <w:b/>
          <w:bCs/>
          <w:color w:val="3E7C8C"/>
          <w:sz w:val="24"/>
          <w:szCs w:val="24"/>
        </w:rPr>
        <w:t xml:space="preserve">7.1 Dispensado</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3400"/>
        <w:gridCol w:w="3260"/>
      </w:tblGrid>
      <w:tr>
        <w:trPr>
          <w:tblHeader/>
        </w:trPr>
        <w:tc>
          <w:tcPr>
            <w:tcW w:type="dxa" w:w="2700"/>
            <w:shd w:fill="2E3A45" w:val="clear"/>
            <w:tcMar>
              <w:top w:type="dxa" w:w="90"/>
              <w:left w:type="dxa" w:w="120"/>
              <w:bottom w:type="dxa" w:w="90"/>
              <w:right w:type="dxa" w:w="120"/>
            </w:tcMar>
            <w:vAlign w:val="center"/>
          </w:tcPr>
          <w:p>
            <w:r>
              <w:rPr>
                <w:b/>
                <w:bCs/>
                <w:color w:val="FFFFFF"/>
                <w:sz w:val="19"/>
                <w:szCs w:val="19"/>
              </w:rPr>
              <w:t xml:space="preserve">Falla</w:t>
            </w:r>
          </w:p>
        </w:tc>
        <w:tc>
          <w:tcPr>
            <w:tcW w:type="dxa" w:w="3400"/>
            <w:shd w:fill="2E3A45" w:val="clear"/>
            <w:tcMar>
              <w:top w:type="dxa" w:w="90"/>
              <w:left w:type="dxa" w:w="120"/>
              <w:bottom w:type="dxa" w:w="90"/>
              <w:right w:type="dxa" w:w="120"/>
            </w:tcMar>
            <w:vAlign w:val="center"/>
          </w:tcPr>
          <w:p>
            <w:r>
              <w:rPr>
                <w:b/>
                <w:bCs/>
                <w:color w:val="FFFFFF"/>
                <w:sz w:val="19"/>
                <w:szCs w:val="19"/>
              </w:rPr>
              <w:t xml:space="preserve">Causa probable</w:t>
            </w:r>
          </w:p>
        </w:tc>
        <w:tc>
          <w:tcPr>
            <w:tcW w:type="dxa" w:w="3260"/>
            <w:shd w:fill="2E3A45" w:val="clear"/>
            <w:tcMar>
              <w:top w:type="dxa" w:w="90"/>
              <w:left w:type="dxa" w:w="120"/>
              <w:bottom w:type="dxa" w:w="90"/>
              <w:right w:type="dxa" w:w="120"/>
            </w:tcMar>
            <w:vAlign w:val="center"/>
          </w:tcPr>
          <w:p>
            <w:r>
              <w:rPr>
                <w:b/>
                <w:bCs/>
                <w:color w:val="FFFFFF"/>
                <w:sz w:val="19"/>
                <w:szCs w:val="19"/>
              </w:rPr>
              <w:t xml:space="preserve">Acción</w:t>
            </w:r>
          </w:p>
        </w:tc>
      </w:tr>
      <w:tr>
        <w:tc>
          <w:tcPr>
            <w:tcW w:type="dxa" w:w="2700"/>
            <w:shd w:fill="FFFFFF" w:val="clear"/>
            <w:tcMar>
              <w:top w:type="dxa" w:w="80"/>
              <w:left w:type="dxa" w:w="120"/>
              <w:bottom w:type="dxa" w:w="80"/>
              <w:right w:type="dxa" w:w="120"/>
            </w:tcMar>
            <w:vAlign w:val="center"/>
          </w:tcPr>
          <w:p>
            <w:r>
              <w:rPr>
                <w:sz w:val="19"/>
                <w:szCs w:val="19"/>
              </w:rPr>
              <w:t xml:space="preserve">Dispensado discontinuo (Fault 233)</w:t>
            </w:r>
          </w:p>
        </w:tc>
        <w:tc>
          <w:tcPr>
            <w:tcW w:type="dxa" w:w="3400"/>
            <w:shd w:fill="FFFFFF" w:val="clear"/>
            <w:tcMar>
              <w:top w:type="dxa" w:w="80"/>
              <w:left w:type="dxa" w:w="120"/>
              <w:bottom w:type="dxa" w:w="80"/>
              <w:right w:type="dxa" w:w="120"/>
            </w:tcMar>
            <w:vAlign w:val="center"/>
          </w:tcPr>
          <w:p>
            <w:r>
              <w:rPr>
                <w:sz w:val="19"/>
                <w:szCs w:val="19"/>
              </w:rPr>
              <w:t xml:space="preserve">DELO se acabó (falla más común)</w:t>
            </w:r>
          </w:p>
        </w:tc>
        <w:tc>
          <w:tcPr>
            <w:tcW w:type="dxa" w:w="3260"/>
            <w:shd w:fill="FFFFFF" w:val="clear"/>
            <w:tcMar>
              <w:top w:type="dxa" w:w="80"/>
              <w:left w:type="dxa" w:w="120"/>
              <w:bottom w:type="dxa" w:w="80"/>
              <w:right w:type="dxa" w:w="120"/>
            </w:tcMar>
            <w:vAlign w:val="center"/>
          </w:tcPr>
          <w:p>
            <w:r>
              <w:rPr>
                <w:sz w:val="19"/>
                <w:szCs w:val="19"/>
              </w:rPr>
              <w:t xml:space="preserve">Cambiar el cartucho de DELO.</w:t>
            </w:r>
          </w:p>
        </w:tc>
      </w:tr>
      <w:tr>
        <w:tc>
          <w:tcPr>
            <w:tcW w:type="dxa" w:w="2700"/>
            <w:shd w:fill="F2F2F2" w:val="clear"/>
            <w:tcMar>
              <w:top w:type="dxa" w:w="80"/>
              <w:left w:type="dxa" w:w="120"/>
              <w:bottom w:type="dxa" w:w="80"/>
              <w:right w:type="dxa" w:w="120"/>
            </w:tcMar>
            <w:vAlign w:val="center"/>
          </w:tcPr>
          <w:p>
            <w:r>
              <w:rPr>
                <w:sz w:val="19"/>
                <w:szCs w:val="19"/>
              </w:rPr>
              <w:t xml:space="preserve">Dispensado discontinuo (Fault 233)</w:t>
            </w:r>
          </w:p>
        </w:tc>
        <w:tc>
          <w:tcPr>
            <w:tcW w:type="dxa" w:w="3400"/>
            <w:shd w:fill="F2F2F2" w:val="clear"/>
            <w:tcMar>
              <w:top w:type="dxa" w:w="80"/>
              <w:left w:type="dxa" w:w="120"/>
              <w:bottom w:type="dxa" w:w="80"/>
              <w:right w:type="dxa" w:w="120"/>
            </w:tcMar>
            <w:vAlign w:val="center"/>
          </w:tcPr>
          <w:p>
            <w:r>
              <w:rPr>
                <w:sz w:val="19"/>
                <w:szCs w:val="19"/>
              </w:rPr>
              <w:t xml:space="preserve">Punta del dispensador tapada</w:t>
            </w:r>
          </w:p>
        </w:tc>
        <w:tc>
          <w:tcPr>
            <w:tcW w:type="dxa" w:w="3260"/>
            <w:shd w:fill="F2F2F2" w:val="clear"/>
            <w:tcMar>
              <w:top w:type="dxa" w:w="80"/>
              <w:left w:type="dxa" w:w="120"/>
              <w:bottom w:type="dxa" w:w="80"/>
              <w:right w:type="dxa" w:w="120"/>
            </w:tcMar>
            <w:vAlign w:val="center"/>
          </w:tcPr>
          <w:p>
            <w:r>
              <w:rPr>
                <w:sz w:val="19"/>
                <w:szCs w:val="19"/>
              </w:rPr>
              <w:t xml:space="preserve">Cambiar la punta.</w:t>
            </w:r>
          </w:p>
        </w:tc>
      </w:tr>
      <w:tr>
        <w:tc>
          <w:tcPr>
            <w:tcW w:type="dxa" w:w="2700"/>
            <w:shd w:fill="FFFFFF" w:val="clear"/>
            <w:tcMar>
              <w:top w:type="dxa" w:w="80"/>
              <w:left w:type="dxa" w:w="120"/>
              <w:bottom w:type="dxa" w:w="80"/>
              <w:right w:type="dxa" w:w="120"/>
            </w:tcMar>
            <w:vAlign w:val="center"/>
          </w:tcPr>
          <w:p>
            <w:r>
              <w:rPr>
                <w:sz w:val="19"/>
                <w:szCs w:val="19"/>
              </w:rPr>
              <w:t xml:space="preserve">Dispensado discontinuo (Fault 233)</w:t>
            </w:r>
          </w:p>
        </w:tc>
        <w:tc>
          <w:tcPr>
            <w:tcW w:type="dxa" w:w="3400"/>
            <w:shd w:fill="FFFFFF" w:val="clear"/>
            <w:tcMar>
              <w:top w:type="dxa" w:w="80"/>
              <w:left w:type="dxa" w:w="120"/>
              <w:bottom w:type="dxa" w:w="80"/>
              <w:right w:type="dxa" w:w="120"/>
            </w:tcMar>
            <w:vAlign w:val="center"/>
          </w:tcPr>
          <w:p>
            <w:r>
              <w:rPr>
                <w:sz w:val="19"/>
                <w:szCs w:val="19"/>
              </w:rPr>
              <w:t xml:space="preserve">Motor del dispensador dañado</w:t>
            </w:r>
          </w:p>
        </w:tc>
        <w:tc>
          <w:tcPr>
            <w:tcW w:type="dxa" w:w="3260"/>
            <w:shd w:fill="FFFFFF" w:val="clear"/>
            <w:tcMar>
              <w:top w:type="dxa" w:w="80"/>
              <w:left w:type="dxa" w:w="120"/>
              <w:bottom w:type="dxa" w:w="80"/>
              <w:right w:type="dxa" w:w="120"/>
            </w:tcMar>
            <w:vAlign w:val="center"/>
          </w:tcPr>
          <w:p>
            <w:r>
              <w:rPr>
                <w:sz w:val="19"/>
                <w:szCs w:val="19"/>
              </w:rPr>
              <w:t xml:space="preserve">Validar que efectivamente sea el motor y cambiarlo.</w:t>
            </w:r>
          </w:p>
        </w:tc>
      </w:tr>
      <w:tr>
        <w:tc>
          <w:tcPr>
            <w:tcW w:type="dxa" w:w="2700"/>
            <w:shd w:fill="F2F2F2" w:val="clear"/>
            <w:tcMar>
              <w:top w:type="dxa" w:w="80"/>
              <w:left w:type="dxa" w:w="120"/>
              <w:bottom w:type="dxa" w:w="80"/>
              <w:right w:type="dxa" w:w="120"/>
            </w:tcMar>
            <w:vAlign w:val="center"/>
          </w:tcPr>
          <w:p>
            <w:r>
              <w:rPr>
                <w:sz w:val="19"/>
                <w:szCs w:val="19"/>
              </w:rPr>
              <w:t xml:space="preserve">Dispensado discontinuo (Fault 233)</w:t>
            </w:r>
          </w:p>
        </w:tc>
        <w:tc>
          <w:tcPr>
            <w:tcW w:type="dxa" w:w="3400"/>
            <w:shd w:fill="F2F2F2" w:val="clear"/>
            <w:tcMar>
              <w:top w:type="dxa" w:w="80"/>
              <w:left w:type="dxa" w:w="120"/>
              <w:bottom w:type="dxa" w:w="80"/>
              <w:right w:type="dxa" w:w="120"/>
            </w:tcMar>
            <w:vAlign w:val="center"/>
          </w:tcPr>
          <w:p>
            <w:r>
              <w:rPr>
                <w:sz w:val="19"/>
                <w:szCs w:val="19"/>
              </w:rPr>
              <w:t xml:space="preserve">Burbujas de aire en la línea</w:t>
            </w:r>
          </w:p>
        </w:tc>
        <w:tc>
          <w:tcPr>
            <w:tcW w:type="dxa" w:w="3260"/>
            <w:shd w:fill="F2F2F2" w:val="clear"/>
            <w:tcMar>
              <w:top w:type="dxa" w:w="80"/>
              <w:left w:type="dxa" w:w="120"/>
              <w:bottom w:type="dxa" w:w="80"/>
              <w:right w:type="dxa" w:w="120"/>
            </w:tcMar>
            <w:vAlign w:val="center"/>
          </w:tcPr>
          <w:p>
            <w:r>
              <w:rPr>
                <w:sz w:val="19"/>
                <w:szCs w:val="19"/>
              </w:rPr>
              <w:t xml:space="preserve">Purgar el sistema hasta que el flujo salga continuo.</w:t>
            </w:r>
          </w:p>
        </w:tc>
      </w:tr>
      <w:tr>
        <w:tc>
          <w:tcPr>
            <w:tcW w:type="dxa" w:w="2700"/>
            <w:shd w:fill="FFFFFF" w:val="clear"/>
            <w:tcMar>
              <w:top w:type="dxa" w:w="80"/>
              <w:left w:type="dxa" w:w="120"/>
              <w:bottom w:type="dxa" w:w="80"/>
              <w:right w:type="dxa" w:w="120"/>
            </w:tcMar>
            <w:vAlign w:val="center"/>
          </w:tcPr>
          <w:p>
            <w:r>
              <w:rPr>
                <w:sz w:val="19"/>
                <w:szCs w:val="19"/>
              </w:rPr>
              <w:t xml:space="preserve">Dispensado desplazado (Fault 233)</w:t>
            </w:r>
          </w:p>
        </w:tc>
        <w:tc>
          <w:tcPr>
            <w:tcW w:type="dxa" w:w="3400"/>
            <w:shd w:fill="FFFFFF" w:val="clear"/>
            <w:tcMar>
              <w:top w:type="dxa" w:w="80"/>
              <w:left w:type="dxa" w:w="120"/>
              <w:bottom w:type="dxa" w:w="80"/>
              <w:right w:type="dxa" w:w="120"/>
            </w:tcMar>
            <w:vAlign w:val="center"/>
          </w:tcPr>
          <w:p>
            <w:r>
              <w:rPr>
                <w:sz w:val="19"/>
                <w:szCs w:val="19"/>
              </w:rPr>
              <w:t xml:space="preserve">Punta del dispensador movida de su posición</w:t>
            </w:r>
          </w:p>
        </w:tc>
        <w:tc>
          <w:tcPr>
            <w:tcW w:type="dxa" w:w="3260"/>
            <w:shd w:fill="FFFFFF" w:val="clear"/>
            <w:tcMar>
              <w:top w:type="dxa" w:w="80"/>
              <w:left w:type="dxa" w:w="120"/>
              <w:bottom w:type="dxa" w:w="80"/>
              <w:right w:type="dxa" w:w="120"/>
            </w:tcMar>
            <w:vAlign w:val="center"/>
          </w:tcPr>
          <w:p>
            <w:r>
              <w:rPr>
                <w:sz w:val="19"/>
                <w:szCs w:val="19"/>
              </w:rPr>
              <w:t xml:space="preserve">Ajustar manualmente la posición de la punta.</w:t>
            </w:r>
          </w:p>
        </w:tc>
      </w:tr>
      <w:tr>
        <w:tc>
          <w:tcPr>
            <w:tcW w:type="dxa" w:w="2700"/>
            <w:shd w:fill="F2F2F2" w:val="clear"/>
            <w:tcMar>
              <w:top w:type="dxa" w:w="80"/>
              <w:left w:type="dxa" w:w="120"/>
              <w:bottom w:type="dxa" w:w="80"/>
              <w:right w:type="dxa" w:w="120"/>
            </w:tcMar>
            <w:vAlign w:val="center"/>
          </w:tcPr>
          <w:p>
            <w:r>
              <w:rPr>
                <w:sz w:val="19"/>
                <w:szCs w:val="19"/>
              </w:rPr>
              <w:t xml:space="preserve">Dispensado desplazado (Fault 233)</w:t>
            </w:r>
          </w:p>
        </w:tc>
        <w:tc>
          <w:tcPr>
            <w:tcW w:type="dxa" w:w="3400"/>
            <w:shd w:fill="F2F2F2" w:val="clear"/>
            <w:tcMar>
              <w:top w:type="dxa" w:w="80"/>
              <w:left w:type="dxa" w:w="120"/>
              <w:bottom w:type="dxa" w:w="80"/>
              <w:right w:type="dxa" w:w="120"/>
            </w:tcMar>
            <w:vAlign w:val="center"/>
          </w:tcPr>
          <w:p>
            <w:r>
              <w:rPr>
                <w:sz w:val="19"/>
                <w:szCs w:val="19"/>
              </w:rPr>
              <w:t xml:space="preserve">Offsets mal configurados</w:t>
            </w:r>
          </w:p>
        </w:tc>
        <w:tc>
          <w:tcPr>
            <w:tcW w:type="dxa" w:w="3260"/>
            <w:shd w:fill="F2F2F2" w:val="clear"/>
            <w:tcMar>
              <w:top w:type="dxa" w:w="80"/>
              <w:left w:type="dxa" w:w="120"/>
              <w:bottom w:type="dxa" w:w="80"/>
              <w:right w:type="dxa" w:w="120"/>
            </w:tcMar>
            <w:vAlign w:val="center"/>
          </w:tcPr>
          <w:p>
            <w:r>
              <w:rPr>
                <w:sz w:val="19"/>
                <w:szCs w:val="19"/>
              </w:rPr>
              <w:t xml:space="preserve">Corregir valores de ARC: X = 9.2, Y = 6.4.</w:t>
            </w:r>
          </w:p>
        </w:tc>
      </w:tr>
      <w:tr>
        <w:tc>
          <w:tcPr>
            <w:tcW w:type="dxa" w:w="2700"/>
            <w:shd w:fill="FFFFFF" w:val="clear"/>
            <w:tcMar>
              <w:top w:type="dxa" w:w="80"/>
              <w:left w:type="dxa" w:w="120"/>
              <w:bottom w:type="dxa" w:w="80"/>
              <w:right w:type="dxa" w:w="120"/>
            </w:tcMar>
            <w:vAlign w:val="center"/>
          </w:tcPr>
          <w:p>
            <w:r>
              <w:rPr>
                <w:sz w:val="19"/>
                <w:szCs w:val="19"/>
              </w:rPr>
              <w:t xml:space="preserve">Dispensado se desplaza con cada pieza (modelo MOOSE)</w:t>
            </w:r>
          </w:p>
        </w:tc>
        <w:tc>
          <w:tcPr>
            <w:tcW w:type="dxa" w:w="3400"/>
            <w:shd w:fill="FFFFFF" w:val="clear"/>
            <w:tcMar>
              <w:top w:type="dxa" w:w="80"/>
              <w:left w:type="dxa" w:w="120"/>
              <w:bottom w:type="dxa" w:w="80"/>
              <w:right w:type="dxa" w:w="120"/>
            </w:tcMar>
            <w:vAlign w:val="center"/>
          </w:tcPr>
          <w:p>
            <w:r>
              <w:rPr>
                <w:sz w:val="19"/>
                <w:szCs w:val="19"/>
              </w:rPr>
              <w:t xml:space="preserve">Dispensador no se sube lo suficiente y choca con el lente</w:t>
            </w:r>
          </w:p>
        </w:tc>
        <w:tc>
          <w:tcPr>
            <w:tcW w:type="dxa" w:w="3260"/>
            <w:shd w:fill="FFFFFF" w:val="clear"/>
            <w:tcMar>
              <w:top w:type="dxa" w:w="80"/>
              <w:left w:type="dxa" w:w="120"/>
              <w:bottom w:type="dxa" w:w="80"/>
              <w:right w:type="dxa" w:w="120"/>
            </w:tcMar>
            <w:vAlign w:val="center"/>
          </w:tcPr>
          <w:p>
            <w:r>
              <w:rPr>
                <w:sz w:val="19"/>
                <w:szCs w:val="19"/>
              </w:rPr>
              <w:t xml:space="preserve">Subir manualmente el dispensador antes de producir MOOSE.</w:t>
            </w:r>
          </w:p>
        </w:tc>
      </w:tr>
      <w:tr>
        <w:tc>
          <w:tcPr>
            <w:tcW w:type="dxa" w:w="2700"/>
            <w:shd w:fill="F2F2F2" w:val="clear"/>
            <w:tcMar>
              <w:top w:type="dxa" w:w="80"/>
              <w:left w:type="dxa" w:w="120"/>
              <w:bottom w:type="dxa" w:w="80"/>
              <w:right w:type="dxa" w:w="120"/>
            </w:tcMar>
            <w:vAlign w:val="center"/>
          </w:tcPr>
          <w:p>
            <w:r>
              <w:rPr>
                <w:sz w:val="19"/>
                <w:szCs w:val="19"/>
              </w:rPr>
              <w:t xml:space="preserve">Falla de visión de dispensado (Fault 222)</w:t>
            </w:r>
          </w:p>
        </w:tc>
        <w:tc>
          <w:tcPr>
            <w:tcW w:type="dxa" w:w="3400"/>
            <w:shd w:fill="F2F2F2" w:val="clear"/>
            <w:tcMar>
              <w:top w:type="dxa" w:w="80"/>
              <w:left w:type="dxa" w:w="120"/>
              <w:bottom w:type="dxa" w:w="80"/>
              <w:right w:type="dxa" w:w="120"/>
            </w:tcMar>
            <w:vAlign w:val="center"/>
          </w:tcPr>
          <w:p>
            <w:r>
              <w:rPr>
                <w:sz w:val="19"/>
                <w:szCs w:val="19"/>
              </w:rPr>
              <w:t xml:space="preserve">Lente de cámara mal ajustado</w:t>
            </w:r>
          </w:p>
        </w:tc>
        <w:tc>
          <w:tcPr>
            <w:tcW w:type="dxa" w:w="3260"/>
            <w:shd w:fill="F2F2F2" w:val="clear"/>
            <w:tcMar>
              <w:top w:type="dxa" w:w="80"/>
              <w:left w:type="dxa" w:w="120"/>
              <w:bottom w:type="dxa" w:w="80"/>
              <w:right w:type="dxa" w:w="120"/>
            </w:tcMar>
            <w:vAlign w:val="center"/>
          </w:tcPr>
          <w:p>
            <w:r>
              <w:rPr>
                <w:sz w:val="19"/>
                <w:szCs w:val="19"/>
              </w:rPr>
              <w:t xml:space="preserve">Ajustar diafragma/enfoque de la cámara.</w:t>
            </w:r>
          </w:p>
        </w:tc>
      </w:tr>
      <w:tr>
        <w:tc>
          <w:tcPr>
            <w:tcW w:type="dxa" w:w="2700"/>
            <w:shd w:fill="FFFFFF" w:val="clear"/>
            <w:tcMar>
              <w:top w:type="dxa" w:w="80"/>
              <w:left w:type="dxa" w:w="120"/>
              <w:bottom w:type="dxa" w:w="80"/>
              <w:right w:type="dxa" w:w="120"/>
            </w:tcMar>
            <w:vAlign w:val="center"/>
          </w:tcPr>
          <w:p>
            <w:r>
              <w:rPr>
                <w:sz w:val="19"/>
                <w:szCs w:val="19"/>
              </w:rPr>
              <w:t xml:space="preserve">Falla de visión de dispensado (Fault 222)</w:t>
            </w:r>
          </w:p>
        </w:tc>
        <w:tc>
          <w:tcPr>
            <w:tcW w:type="dxa" w:w="3400"/>
            <w:shd w:fill="FFFFFF" w:val="clear"/>
            <w:tcMar>
              <w:top w:type="dxa" w:w="80"/>
              <w:left w:type="dxa" w:w="120"/>
              <w:bottom w:type="dxa" w:w="80"/>
              <w:right w:type="dxa" w:w="120"/>
            </w:tcMar>
            <w:vAlign w:val="center"/>
          </w:tcPr>
          <w:p>
            <w:r>
              <w:rPr>
                <w:sz w:val="19"/>
                <w:szCs w:val="19"/>
              </w:rPr>
              <w:t xml:space="preserve">Valores de Z incorrectos</w:t>
            </w:r>
          </w:p>
        </w:tc>
        <w:tc>
          <w:tcPr>
            <w:tcW w:type="dxa" w:w="3260"/>
            <w:shd w:fill="FFFFFF" w:val="clear"/>
            <w:tcMar>
              <w:top w:type="dxa" w:w="80"/>
              <w:left w:type="dxa" w:w="120"/>
              <w:bottom w:type="dxa" w:w="80"/>
              <w:right w:type="dxa" w:w="120"/>
            </w:tcMar>
            <w:vAlign w:val="center"/>
          </w:tcPr>
          <w:p>
            <w:r>
              <w:rPr>
                <w:sz w:val="19"/>
                <w:szCs w:val="19"/>
              </w:rPr>
              <w:t xml:space="preserve">Revisar primero lente y dispensado antes de ajustar valores de Z.</w:t>
            </w:r>
          </w:p>
        </w:tc>
      </w:tr>
    </w:tbl>
    <w:p>
      <w:pPr>
        <w:pStyle w:val="Heading2"/>
        <w:spacing w:after="140" w:before="260"/>
      </w:pPr>
      <w:r>
        <w:rPr>
          <w:b/>
          <w:bCs/>
          <w:color w:val="3E7C8C"/>
          <w:sz w:val="24"/>
          <w:szCs w:val="24"/>
        </w:rPr>
        <w:t xml:space="preserve">7.2 Comunicación (Pogo de contacto)</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3400"/>
        <w:gridCol w:w="3260"/>
      </w:tblGrid>
      <w:tr>
        <w:trPr>
          <w:tblHeader/>
        </w:trPr>
        <w:tc>
          <w:tcPr>
            <w:tcW w:type="dxa" w:w="2700"/>
            <w:shd w:fill="2E3A45" w:val="clear"/>
            <w:tcMar>
              <w:top w:type="dxa" w:w="90"/>
              <w:left w:type="dxa" w:w="120"/>
              <w:bottom w:type="dxa" w:w="90"/>
              <w:right w:type="dxa" w:w="120"/>
            </w:tcMar>
            <w:vAlign w:val="center"/>
          </w:tcPr>
          <w:p>
            <w:r>
              <w:rPr>
                <w:b/>
                <w:bCs/>
                <w:color w:val="FFFFFF"/>
                <w:sz w:val="19"/>
                <w:szCs w:val="19"/>
              </w:rPr>
              <w:t xml:space="preserve">Falla</w:t>
            </w:r>
          </w:p>
        </w:tc>
        <w:tc>
          <w:tcPr>
            <w:tcW w:type="dxa" w:w="3400"/>
            <w:shd w:fill="2E3A45" w:val="clear"/>
            <w:tcMar>
              <w:top w:type="dxa" w:w="90"/>
              <w:left w:type="dxa" w:w="120"/>
              <w:bottom w:type="dxa" w:w="90"/>
              <w:right w:type="dxa" w:w="120"/>
            </w:tcMar>
            <w:vAlign w:val="center"/>
          </w:tcPr>
          <w:p>
            <w:r>
              <w:rPr>
                <w:b/>
                <w:bCs/>
                <w:color w:val="FFFFFF"/>
                <w:sz w:val="19"/>
                <w:szCs w:val="19"/>
              </w:rPr>
              <w:t xml:space="preserve">Causa probable</w:t>
            </w:r>
          </w:p>
        </w:tc>
        <w:tc>
          <w:tcPr>
            <w:tcW w:type="dxa" w:w="3260"/>
            <w:shd w:fill="2E3A45" w:val="clear"/>
            <w:tcMar>
              <w:top w:type="dxa" w:w="90"/>
              <w:left w:type="dxa" w:w="120"/>
              <w:bottom w:type="dxa" w:w="90"/>
              <w:right w:type="dxa" w:w="120"/>
            </w:tcMar>
            <w:vAlign w:val="center"/>
          </w:tcPr>
          <w:p>
            <w:r>
              <w:rPr>
                <w:b/>
                <w:bCs/>
                <w:color w:val="FFFFFF"/>
                <w:sz w:val="19"/>
                <w:szCs w:val="19"/>
              </w:rPr>
              <w:t xml:space="preserve">Acción</w:t>
            </w:r>
          </w:p>
        </w:tc>
      </w:tr>
      <w:tr>
        <w:tc>
          <w:tcPr>
            <w:tcW w:type="dxa" w:w="2700"/>
            <w:shd w:fill="FFFFFF" w:val="clear"/>
            <w:tcMar>
              <w:top w:type="dxa" w:w="80"/>
              <w:left w:type="dxa" w:w="120"/>
              <w:bottom w:type="dxa" w:w="80"/>
              <w:right w:type="dxa" w:w="120"/>
            </w:tcMar>
            <w:vAlign w:val="center"/>
          </w:tcPr>
          <w:p>
            <w:r>
              <w:rPr>
                <w:sz w:val="19"/>
                <w:szCs w:val="19"/>
              </w:rPr>
              <w:t xml:space="preserve">Pogo sube y baja rápido</w:t>
            </w:r>
          </w:p>
        </w:tc>
        <w:tc>
          <w:tcPr>
            <w:tcW w:type="dxa" w:w="3400"/>
            <w:shd w:fill="FFFFFF" w:val="clear"/>
            <w:tcMar>
              <w:top w:type="dxa" w:w="80"/>
              <w:left w:type="dxa" w:w="120"/>
              <w:bottom w:type="dxa" w:w="80"/>
              <w:right w:type="dxa" w:w="120"/>
            </w:tcMar>
            <w:vAlign w:val="center"/>
          </w:tcPr>
          <w:p>
            <w:r>
              <w:rPr>
                <w:sz w:val="19"/>
                <w:szCs w:val="19"/>
              </w:rPr>
              <w:t xml:space="preserve">Falso contacto del pogo o del plato</w:t>
            </w:r>
          </w:p>
        </w:tc>
        <w:tc>
          <w:tcPr>
            <w:tcW w:type="dxa" w:w="3260"/>
            <w:shd w:fill="FFFFFF" w:val="clear"/>
            <w:tcMar>
              <w:top w:type="dxa" w:w="80"/>
              <w:left w:type="dxa" w:w="120"/>
              <w:bottom w:type="dxa" w:w="80"/>
              <w:right w:type="dxa" w:w="120"/>
            </w:tcMar>
            <w:vAlign w:val="center"/>
          </w:tcPr>
          <w:p>
            <w:r>
              <w:rPr>
                <w:sz w:val="19"/>
                <w:szCs w:val="19"/>
              </w:rPr>
              <w:t xml:space="preserve">Limpiar los pines con alcohol.</w:t>
            </w:r>
          </w:p>
        </w:tc>
      </w:tr>
      <w:tr>
        <w:tc>
          <w:tcPr>
            <w:tcW w:type="dxa" w:w="2700"/>
            <w:shd w:fill="F2F2F2" w:val="clear"/>
            <w:tcMar>
              <w:top w:type="dxa" w:w="80"/>
              <w:left w:type="dxa" w:w="120"/>
              <w:bottom w:type="dxa" w:w="80"/>
              <w:right w:type="dxa" w:w="120"/>
            </w:tcMar>
            <w:vAlign w:val="center"/>
          </w:tcPr>
          <w:p>
            <w:r>
              <w:rPr>
                <w:sz w:val="19"/>
                <w:szCs w:val="19"/>
              </w:rPr>
              <w:t xml:space="preserve">Pogo sube y baja rápido</w:t>
            </w:r>
          </w:p>
        </w:tc>
        <w:tc>
          <w:tcPr>
            <w:tcW w:type="dxa" w:w="3400"/>
            <w:shd w:fill="F2F2F2" w:val="clear"/>
            <w:tcMar>
              <w:top w:type="dxa" w:w="80"/>
              <w:left w:type="dxa" w:w="120"/>
              <w:bottom w:type="dxa" w:w="80"/>
              <w:right w:type="dxa" w:w="120"/>
            </w:tcMar>
            <w:vAlign w:val="center"/>
          </w:tcPr>
          <w:p>
            <w:r>
              <w:rPr>
                <w:sz w:val="19"/>
                <w:szCs w:val="19"/>
              </w:rPr>
              <w:t xml:space="preserve">Pin atascado</w:t>
            </w:r>
          </w:p>
        </w:tc>
        <w:tc>
          <w:tcPr>
            <w:tcW w:type="dxa" w:w="3260"/>
            <w:shd w:fill="F2F2F2" w:val="clear"/>
            <w:tcMar>
              <w:top w:type="dxa" w:w="80"/>
              <w:left w:type="dxa" w:w="120"/>
              <w:bottom w:type="dxa" w:w="80"/>
              <w:right w:type="dxa" w:w="120"/>
            </w:tcMar>
            <w:vAlign w:val="center"/>
          </w:tcPr>
          <w:p>
            <w:r>
              <w:rPr>
                <w:sz w:val="19"/>
                <w:szCs w:val="19"/>
              </w:rPr>
              <w:t xml:space="preserve">Revisar que ningún pin se esté quedando atascado; jalar firmemente hacia arriba el pin con unas pinzas (y el otro de igual forma) para liberarlo.</w:t>
            </w:r>
          </w:p>
        </w:tc>
      </w:tr>
      <w:tr>
        <w:tc>
          <w:tcPr>
            <w:tcW w:type="dxa" w:w="2700"/>
            <w:shd w:fill="FFFFFF" w:val="clear"/>
            <w:tcMar>
              <w:top w:type="dxa" w:w="80"/>
              <w:left w:type="dxa" w:w="120"/>
              <w:bottom w:type="dxa" w:w="80"/>
              <w:right w:type="dxa" w:w="120"/>
            </w:tcMar>
            <w:vAlign w:val="center"/>
          </w:tcPr>
          <w:p>
            <w:r>
              <w:rPr>
                <w:sz w:val="19"/>
                <w:szCs w:val="19"/>
              </w:rPr>
              <w:t xml:space="preserve">Pogo sube y baja de forma más intermitente</w:t>
            </w:r>
          </w:p>
        </w:tc>
        <w:tc>
          <w:tcPr>
            <w:tcW w:type="dxa" w:w="3400"/>
            <w:shd w:fill="FFFFFF" w:val="clear"/>
            <w:tcMar>
              <w:top w:type="dxa" w:w="80"/>
              <w:left w:type="dxa" w:w="120"/>
              <w:bottom w:type="dxa" w:w="80"/>
              <w:right w:type="dxa" w:w="120"/>
            </w:tcMar>
            <w:vAlign w:val="center"/>
          </w:tcPr>
          <w:p>
            <w:r>
              <w:rPr>
                <w:sz w:val="19"/>
                <w:szCs w:val="19"/>
              </w:rPr>
              <w:t xml:space="preserve">Falla del interposer</w:t>
            </w:r>
          </w:p>
        </w:tc>
        <w:tc>
          <w:tcPr>
            <w:tcW w:type="dxa" w:w="3260"/>
            <w:shd w:fill="FFFFFF" w:val="clear"/>
            <w:tcMar>
              <w:top w:type="dxa" w:w="80"/>
              <w:left w:type="dxa" w:w="120"/>
              <w:bottom w:type="dxa" w:w="80"/>
              <w:right w:type="dxa" w:w="120"/>
            </w:tcMar>
            <w:vAlign w:val="center"/>
          </w:tcPr>
          <w:p>
            <w:r>
              <w:rPr>
                <w:sz w:val="19"/>
                <w:szCs w:val="19"/>
              </w:rPr>
              <w:t xml:space="preserve">Cambiar el interposer.</w:t>
            </w:r>
          </w:p>
        </w:tc>
      </w:tr>
      <w:tr>
        <w:tc>
          <w:tcPr>
            <w:tcW w:type="dxa" w:w="2700"/>
            <w:shd w:fill="F2F2F2" w:val="clear"/>
            <w:tcMar>
              <w:top w:type="dxa" w:w="80"/>
              <w:left w:type="dxa" w:w="120"/>
              <w:bottom w:type="dxa" w:w="80"/>
              <w:right w:type="dxa" w:w="120"/>
            </w:tcMar>
            <w:vAlign w:val="center"/>
          </w:tcPr>
          <w:p>
            <w:r>
              <w:rPr>
                <w:sz w:val="19"/>
                <w:szCs w:val="19"/>
              </w:rPr>
              <w:t xml:space="preserve">Pogo sube y baja de forma más intermitente</w:t>
            </w:r>
          </w:p>
        </w:tc>
        <w:tc>
          <w:tcPr>
            <w:tcW w:type="dxa" w:w="3400"/>
            <w:shd w:fill="F2F2F2" w:val="clear"/>
            <w:tcMar>
              <w:top w:type="dxa" w:w="80"/>
              <w:left w:type="dxa" w:w="120"/>
              <w:bottom w:type="dxa" w:w="80"/>
              <w:right w:type="dxa" w:w="120"/>
            </w:tcMar>
            <w:vAlign w:val="center"/>
          </w:tcPr>
          <w:p>
            <w:r>
              <w:rPr>
                <w:sz w:val="19"/>
                <w:szCs w:val="19"/>
              </w:rPr>
              <w:t xml:space="preserve">Pines sucios</w:t>
            </w:r>
          </w:p>
        </w:tc>
        <w:tc>
          <w:tcPr>
            <w:tcW w:type="dxa" w:w="3260"/>
            <w:shd w:fill="F2F2F2" w:val="clear"/>
            <w:tcMar>
              <w:top w:type="dxa" w:w="80"/>
              <w:left w:type="dxa" w:w="120"/>
              <w:bottom w:type="dxa" w:w="80"/>
              <w:right w:type="dxa" w:w="120"/>
            </w:tcMar>
            <w:vAlign w:val="center"/>
          </w:tcPr>
          <w:p>
            <w:r>
              <w:rPr>
                <w:sz w:val="19"/>
                <w:szCs w:val="19"/>
              </w:rPr>
              <w:t xml:space="preserve">Limpiar los pines.</w:t>
            </w:r>
          </w:p>
        </w:tc>
      </w:tr>
      <w:tr>
        <w:tc>
          <w:tcPr>
            <w:tcW w:type="dxa" w:w="2700"/>
            <w:shd w:fill="FFFFFF" w:val="clear"/>
            <w:tcMar>
              <w:top w:type="dxa" w:w="80"/>
              <w:left w:type="dxa" w:w="120"/>
              <w:bottom w:type="dxa" w:w="80"/>
              <w:right w:type="dxa" w:w="120"/>
            </w:tcMar>
            <w:vAlign w:val="center"/>
          </w:tcPr>
          <w:p>
            <w:r>
              <w:rPr>
                <w:sz w:val="19"/>
                <w:szCs w:val="19"/>
              </w:rPr>
              <w:t xml:space="preserve">Pogo sube y baja de forma más intermitente</w:t>
            </w:r>
          </w:p>
        </w:tc>
        <w:tc>
          <w:tcPr>
            <w:tcW w:type="dxa" w:w="3400"/>
            <w:shd w:fill="FFFFFF" w:val="clear"/>
            <w:tcMar>
              <w:top w:type="dxa" w:w="80"/>
              <w:left w:type="dxa" w:w="120"/>
              <w:bottom w:type="dxa" w:w="80"/>
              <w:right w:type="dxa" w:w="120"/>
            </w:tcMar>
            <w:vAlign w:val="center"/>
          </w:tcPr>
          <w:p>
            <w:r>
              <w:rPr>
                <w:sz w:val="19"/>
                <w:szCs w:val="19"/>
              </w:rPr>
              <w:t xml:space="preserve">Pieza mal colocada</w:t>
            </w:r>
          </w:p>
        </w:tc>
        <w:tc>
          <w:tcPr>
            <w:tcW w:type="dxa" w:w="3260"/>
            <w:shd w:fill="FFFFFF" w:val="clear"/>
            <w:tcMar>
              <w:top w:type="dxa" w:w="80"/>
              <w:left w:type="dxa" w:w="120"/>
              <w:bottom w:type="dxa" w:w="80"/>
              <w:right w:type="dxa" w:w="120"/>
            </w:tcMar>
            <w:vAlign w:val="center"/>
          </w:tcPr>
          <w:p>
            <w:r>
              <w:rPr>
                <w:sz w:val="19"/>
                <w:szCs w:val="19"/>
              </w:rPr>
              <w:t xml:space="preserve">Colocar la pieza centrada en la estación.</w:t>
            </w:r>
          </w:p>
        </w:tc>
      </w:tr>
    </w:tbl>
    <w:p>
      <w:pPr>
        <w:pStyle w:val="Heading2"/>
        <w:spacing w:after="140" w:before="260"/>
      </w:pPr>
      <w:r>
        <w:rPr>
          <w:b/>
          <w:bCs/>
          <w:color w:val="3E7C8C"/>
          <w:sz w:val="24"/>
          <w:szCs w:val="24"/>
        </w:rPr>
        <w:t xml:space="preserve">7.3 Alineación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3660"/>
        <w:gridCol w:w="3000"/>
      </w:tblGrid>
      <w:tr>
        <w:trPr>
          <w:tblHeader/>
        </w:trPr>
        <w:tc>
          <w:tcPr>
            <w:tcW w:type="dxa" w:w="2700"/>
            <w:shd w:fill="2E3A45" w:val="clear"/>
            <w:tcMar>
              <w:top w:type="dxa" w:w="90"/>
              <w:left w:type="dxa" w:w="120"/>
              <w:bottom w:type="dxa" w:w="90"/>
              <w:right w:type="dxa" w:w="120"/>
            </w:tcMar>
            <w:vAlign w:val="center"/>
          </w:tcPr>
          <w:p>
            <w:r>
              <w:rPr>
                <w:b/>
                <w:bCs/>
                <w:color w:val="FFFFFF"/>
                <w:sz w:val="19"/>
                <w:szCs w:val="19"/>
              </w:rPr>
              <w:t xml:space="preserve">Falla</w:t>
            </w:r>
          </w:p>
        </w:tc>
        <w:tc>
          <w:tcPr>
            <w:tcW w:type="dxa" w:w="3660"/>
            <w:shd w:fill="2E3A45" w:val="clear"/>
            <w:tcMar>
              <w:top w:type="dxa" w:w="90"/>
              <w:left w:type="dxa" w:w="120"/>
              <w:bottom w:type="dxa" w:w="90"/>
              <w:right w:type="dxa" w:w="120"/>
            </w:tcMar>
            <w:vAlign w:val="center"/>
          </w:tcPr>
          <w:p>
            <w:r>
              <w:rPr>
                <w:b/>
                <w:bCs/>
                <w:color w:val="FFFFFF"/>
                <w:sz w:val="19"/>
                <w:szCs w:val="19"/>
              </w:rPr>
              <w:t xml:space="preserve">Causa / Procedimiento</w:t>
            </w:r>
          </w:p>
        </w:tc>
        <w:tc>
          <w:tcPr>
            <w:tcW w:type="dxa" w:w="3000"/>
            <w:shd w:fill="2E3A45" w:val="clear"/>
            <w:tcMar>
              <w:top w:type="dxa" w:w="90"/>
              <w:left w:type="dxa" w:w="120"/>
              <w:bottom w:type="dxa" w:w="90"/>
              <w:right w:type="dxa" w:w="120"/>
            </w:tcMar>
            <w:vAlign w:val="center"/>
          </w:tcPr>
          <w:p>
            <w:r>
              <w:rPr>
                <w:b/>
                <w:bCs/>
                <w:color w:val="FFFFFF"/>
                <w:sz w:val="19"/>
                <w:szCs w:val="19"/>
              </w:rPr>
              <w:t xml:space="preserve">Acción</w:t>
            </w:r>
          </w:p>
        </w:tc>
      </w:tr>
      <w:tr>
        <w:tc>
          <w:tcPr>
            <w:tcW w:type="dxa" w:w="2700"/>
            <w:shd w:fill="FFFFFF" w:val="clear"/>
            <w:tcMar>
              <w:top w:type="dxa" w:w="80"/>
              <w:left w:type="dxa" w:w="120"/>
              <w:bottom w:type="dxa" w:w="80"/>
              <w:right w:type="dxa" w:w="120"/>
            </w:tcMar>
            <w:vAlign w:val="center"/>
          </w:tcPr>
          <w:p>
            <w:r>
              <w:rPr>
                <w:sz w:val="19"/>
                <w:szCs w:val="19"/>
              </w:rPr>
              <w:t xml:space="preserve">Fallas de alineación seguidas</w:t>
            </w:r>
          </w:p>
        </w:tc>
        <w:tc>
          <w:tcPr>
            <w:tcW w:type="dxa" w:w="3660"/>
            <w:shd w:fill="FFFFFF" w:val="clear"/>
            <w:tcMar>
              <w:top w:type="dxa" w:w="80"/>
              <w:left w:type="dxa" w:w="120"/>
              <w:bottom w:type="dxa" w:w="80"/>
              <w:right w:type="dxa" w:w="120"/>
            </w:tcMar>
            <w:vAlign w:val="center"/>
          </w:tcPr>
          <w:p>
            <w:r>
              <w:rPr>
                <w:sz w:val="19"/>
                <w:szCs w:val="19"/>
              </w:rPr>
              <w:t xml:space="preserve">El valor teacheado de Z necesita actualizarse</w:t>
            </w:r>
          </w:p>
        </w:tc>
        <w:tc>
          <w:tcPr>
            <w:tcW w:type="dxa" w:w="3000"/>
            <w:shd w:fill="FFFFFF" w:val="clear"/>
            <w:tcMar>
              <w:top w:type="dxa" w:w="80"/>
              <w:left w:type="dxa" w:w="120"/>
              <w:bottom w:type="dxa" w:w="80"/>
              <w:right w:type="dxa" w:w="120"/>
            </w:tcMar>
            <w:vAlign w:val="center"/>
          </w:tcPr>
          <w:p>
            <w:r>
              <w:rPr>
                <w:sz w:val="19"/>
                <w:szCs w:val="19"/>
              </w:rPr>
              <w:t xml:space="preserve">Hacer teach de Z en la posición de alineación. El teach se hace directo en el botón de parámetros y se cambia en el "place" del lente para modificar la Z. El valor teacheado es donde empieza a bajar, así que hay que dejarlo más arriba para que tenga más recorrido.</w:t>
            </w:r>
          </w:p>
        </w:tc>
      </w:tr>
      <w:tr>
        <w:tc>
          <w:tcPr>
            <w:tcW w:type="dxa" w:w="2700"/>
            <w:shd w:fill="F2F2F2" w:val="clear"/>
            <w:tcMar>
              <w:top w:type="dxa" w:w="80"/>
              <w:left w:type="dxa" w:w="120"/>
              <w:bottom w:type="dxa" w:w="80"/>
              <w:right w:type="dxa" w:w="120"/>
            </w:tcMar>
            <w:vAlign w:val="center"/>
          </w:tcPr>
          <w:p>
            <w:r>
              <w:rPr>
                <w:sz w:val="19"/>
                <w:szCs w:val="19"/>
              </w:rPr>
              <w:t xml:space="preserve">Necesidad de probar manualmente dispensado o alineación</w:t>
            </w:r>
          </w:p>
        </w:tc>
        <w:tc>
          <w:tcPr>
            <w:tcW w:type="dxa" w:w="3660"/>
            <w:shd w:fill="F2F2F2" w:val="clear"/>
            <w:tcMar>
              <w:top w:type="dxa" w:w="80"/>
              <w:left w:type="dxa" w:w="120"/>
              <w:bottom w:type="dxa" w:w="80"/>
              <w:right w:type="dxa" w:w="120"/>
            </w:tcMar>
            <w:vAlign w:val="center"/>
          </w:tcPr>
          <w:p>
            <w:r>
              <w:rPr>
                <w:sz w:val="19"/>
                <w:szCs w:val="19"/>
              </w:rPr>
              <w:t xml:space="preserve">Pasar la pieza manualmente a una estación específica</w:t>
            </w:r>
          </w:p>
        </w:tc>
        <w:tc>
          <w:tcPr>
            <w:tcW w:type="dxa" w:w="3000"/>
            <w:shd w:fill="F2F2F2" w:val="clear"/>
            <w:tcMar>
              <w:top w:type="dxa" w:w="80"/>
              <w:left w:type="dxa" w:w="120"/>
              <w:bottom w:type="dxa" w:w="80"/>
              <w:right w:type="dxa" w:w="120"/>
            </w:tcMar>
            <w:vAlign w:val="center"/>
          </w:tcPr>
          <w:p>
            <w:r>
              <w:rPr>
                <w:sz w:val="19"/>
                <w:szCs w:val="19"/>
              </w:rPr>
              <w:t xml:space="preserve">En "rotary parking" se pasa la pieza a la estación de dispensado; de ahí se puede dispensar manual o pasar directo a alineación con el botón "align".</w:t>
            </w:r>
          </w:p>
        </w:tc>
      </w:tr>
    </w:tbl>
    <w:p>
      <w:pPr>
        <w:spacing w:after="160" w:line="300"/>
      </w:pPr>
      <w:r>
        <w:rPr>
          <w:sz w:val="21"/>
          <w:szCs w:val="21"/>
        </w:rPr>
        <w:t xml:space="preserve">Si el problema persiste después de estas verificaciones, notifique al equipo de mantenimiento de Jabil o contacte al soporte técnico de ITO GROUP.</w:t>
      </w:r>
    </w:p>
    <w:p>
      <w:pPr>
        <w:pStyle w:val="Heading1"/>
        <w:pBdr>
          <w:bottom w:val="single" w:color="3E7C8C" w:sz="6" w:space="4"/>
        </w:pBdr>
        <w:spacing w:after="200" w:before="400"/>
      </w:pPr>
      <w:r>
        <w:rPr>
          <w:b/>
          <w:bCs/>
          <w:color w:val="2E3A45"/>
          <w:sz w:val="30"/>
          <w:szCs w:val="30"/>
        </w:rPr>
        <w:t xml:space="preserve">8.  Notas de Confiabilidad y Mejora Continua</w:t>
      </w:r>
    </w:p>
    <w:p>
      <w:pPr>
        <w:spacing w:after="160" w:line="300"/>
      </w:pPr>
      <w:r>
        <w:rPr>
          <w:sz w:val="21"/>
          <w:szCs w:val="21"/>
        </w:rPr>
        <w:t xml:space="preserve">Las siguientes fallas son las más frecuentes/críticas observadas en la Kasalis PIXID 500 y aplican por igual a todos los modelos que procesa, ya que la mecánica y electrónica de la máquina no cambian entre modelos.</w:t>
      </w:r>
    </w:p>
    <w:p>
      <w:pPr>
        <w:pStyle w:val="Heading2"/>
        <w:spacing w:after="140" w:before="260"/>
      </w:pPr>
      <w:r>
        <w:rPr>
          <w:b/>
          <w:bCs/>
          <w:color w:val="3E7C8C"/>
          <w:sz w:val="24"/>
          <w:szCs w:val="24"/>
        </w:rPr>
        <w:t xml:space="preserve">8.1 Fallas sistemáticas conocidas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4160"/>
        <w:gridCol w:w="2500"/>
      </w:tblGrid>
      <w:tr>
        <w:trPr>
          <w:tblHeader/>
        </w:trPr>
        <w:tc>
          <w:tcPr>
            <w:tcW w:type="dxa" w:w="2700"/>
            <w:shd w:fill="2E3A45" w:val="clear"/>
            <w:tcMar>
              <w:top w:type="dxa" w:w="90"/>
              <w:left w:type="dxa" w:w="120"/>
              <w:bottom w:type="dxa" w:w="90"/>
              <w:right w:type="dxa" w:w="120"/>
            </w:tcMar>
            <w:vAlign w:val="center"/>
          </w:tcPr>
          <w:p>
            <w:r>
              <w:rPr>
                <w:b/>
                <w:bCs/>
                <w:color w:val="FFFFFF"/>
                <w:sz w:val="19"/>
                <w:szCs w:val="19"/>
              </w:rPr>
              <w:t xml:space="preserve">Falla</w:t>
            </w:r>
          </w:p>
        </w:tc>
        <w:tc>
          <w:tcPr>
            <w:tcW w:type="dxa" w:w="4160"/>
            <w:shd w:fill="2E3A45" w:val="clear"/>
            <w:tcMar>
              <w:top w:type="dxa" w:w="90"/>
              <w:left w:type="dxa" w:w="120"/>
              <w:bottom w:type="dxa" w:w="90"/>
              <w:right w:type="dxa" w:w="120"/>
            </w:tcMar>
            <w:vAlign w:val="center"/>
          </w:tcPr>
          <w:p>
            <w:r>
              <w:rPr>
                <w:b/>
                <w:bCs/>
                <w:color w:val="FFFFFF"/>
                <w:sz w:val="19"/>
                <w:szCs w:val="19"/>
              </w:rPr>
              <w:t xml:space="preserve">Causa / Hipótesis</w:t>
            </w:r>
          </w:p>
        </w:tc>
        <w:tc>
          <w:tcPr>
            <w:tcW w:type="dxa" w:w="2500"/>
            <w:shd w:fill="2E3A45" w:val="clear"/>
            <w:tcMar>
              <w:top w:type="dxa" w:w="90"/>
              <w:left w:type="dxa" w:w="120"/>
              <w:bottom w:type="dxa" w:w="90"/>
              <w:right w:type="dxa" w:w="120"/>
            </w:tcMar>
            <w:vAlign w:val="center"/>
          </w:tcPr>
          <w:p>
            <w:r>
              <w:rPr>
                <w:b/>
                <w:bCs/>
                <w:color w:val="FFFFFF"/>
                <w:sz w:val="19"/>
                <w:szCs w:val="19"/>
              </w:rPr>
              <w:t xml:space="preserve">Impacto</w:t>
            </w:r>
          </w:p>
        </w:tc>
      </w:tr>
      <w:tr>
        <w:tc>
          <w:tcPr>
            <w:tcW w:type="dxa" w:w="2700"/>
            <w:shd w:fill="FFFFFF" w:val="clear"/>
            <w:tcMar>
              <w:top w:type="dxa" w:w="80"/>
              <w:left w:type="dxa" w:w="120"/>
              <w:bottom w:type="dxa" w:w="80"/>
              <w:right w:type="dxa" w:w="120"/>
            </w:tcMar>
            <w:vAlign w:val="center"/>
          </w:tcPr>
          <w:p>
            <w:r>
              <w:rPr>
                <w:sz w:val="19"/>
                <w:szCs w:val="19"/>
              </w:rPr>
              <w:t xml:space="preserve">Fault 102 — IPC Deadlock</w:t>
            </w:r>
          </w:p>
        </w:tc>
        <w:tc>
          <w:tcPr>
            <w:tcW w:type="dxa" w:w="4160"/>
            <w:shd w:fill="FFFFFF" w:val="clear"/>
            <w:tcMar>
              <w:top w:type="dxa" w:w="80"/>
              <w:left w:type="dxa" w:w="120"/>
              <w:bottom w:type="dxa" w:w="80"/>
              <w:right w:type="dxa" w:w="120"/>
            </w:tcMar>
            <w:vAlign w:val="center"/>
          </w:tcPr>
          <w:p>
            <w:r>
              <w:rPr>
                <w:sz w:val="19"/>
                <w:szCs w:val="19"/>
              </w:rPr>
              <w:t xml:space="preserve">Hipótesis: lectura de MTF con timeout → el PLC entra en un ciclo de reintento infinito → bloquea el comando de apertura del gripper. Causa raíz aún no confirmada; ocurre de forma sistemática.</w:t>
            </w:r>
          </w:p>
        </w:tc>
        <w:tc>
          <w:tcPr>
            <w:tcW w:type="dxa" w:w="2500"/>
            <w:shd w:fill="FFFFFF" w:val="clear"/>
            <w:tcMar>
              <w:top w:type="dxa" w:w="80"/>
              <w:left w:type="dxa" w:w="120"/>
              <w:bottom w:type="dxa" w:w="80"/>
              <w:right w:type="dxa" w:w="120"/>
            </w:tcMar>
            <w:vAlign w:val="center"/>
          </w:tcPr>
          <w:p>
            <w:r>
              <w:rPr>
                <w:sz w:val="19"/>
                <w:szCs w:val="19"/>
              </w:rPr>
              <w:t xml:space="preserve">Máquina "atorada" 5–30 min, requiere reinicio manual.</w:t>
            </w:r>
          </w:p>
        </w:tc>
      </w:tr>
      <w:tr>
        <w:tc>
          <w:tcPr>
            <w:tcW w:type="dxa" w:w="2700"/>
            <w:shd w:fill="F2F2F2" w:val="clear"/>
            <w:tcMar>
              <w:top w:type="dxa" w:w="80"/>
              <w:left w:type="dxa" w:w="120"/>
              <w:bottom w:type="dxa" w:w="80"/>
              <w:right w:type="dxa" w:w="120"/>
            </w:tcMar>
            <w:vAlign w:val="center"/>
          </w:tcPr>
          <w:p>
            <w:r>
              <w:rPr>
                <w:sz w:val="19"/>
                <w:szCs w:val="19"/>
              </w:rPr>
              <w:t xml:space="preserve">Fault 155 — drift post-curado UV</w:t>
            </w:r>
          </w:p>
        </w:tc>
        <w:tc>
          <w:tcPr>
            <w:tcW w:type="dxa" w:w="4160"/>
            <w:shd w:fill="F2F2F2" w:val="clear"/>
            <w:tcMar>
              <w:top w:type="dxa" w:w="80"/>
              <w:left w:type="dxa" w:w="120"/>
              <w:bottom w:type="dxa" w:w="80"/>
              <w:right w:type="dxa" w:w="120"/>
            </w:tcMar>
            <w:vAlign w:val="center"/>
          </w:tcPr>
          <w:p>
            <w:r>
              <w:rPr>
                <w:sz w:val="19"/>
                <w:szCs w:val="19"/>
              </w:rPr>
              <w:t xml:space="preserve">Desgaste del jaw del gripper (correlaciona con adhesivo DELO acumulado en las superficies de agarre); si el jaw pierde contacto, la lente se suelta o descentra después del curado.</w:t>
            </w:r>
          </w:p>
        </w:tc>
        <w:tc>
          <w:tcPr>
            <w:tcW w:type="dxa" w:w="2500"/>
            <w:shd w:fill="F2F2F2" w:val="clear"/>
            <w:tcMar>
              <w:top w:type="dxa" w:w="80"/>
              <w:left w:type="dxa" w:w="120"/>
              <w:bottom w:type="dxa" w:w="80"/>
              <w:right w:type="dxa" w:w="120"/>
            </w:tcMar>
            <w:vAlign w:val="center"/>
          </w:tcPr>
          <w:p>
            <w:r>
              <w:rPr>
                <w:sz w:val="19"/>
                <w:szCs w:val="19"/>
              </w:rPr>
              <w:t xml:space="preserve">Lentes rechazadas en EOL; 10–30% de scrap por lote.</w:t>
            </w:r>
          </w:p>
        </w:tc>
      </w:tr>
    </w:tbl>
    <w:p>
      <w:pPr>
        <w:pStyle w:val="Heading2"/>
        <w:spacing w:after="140" w:before="260"/>
      </w:pPr>
      <w:r>
        <w:rPr>
          <w:b/>
          <w:bCs/>
          <w:color w:val="3E7C8C"/>
          <w:sz w:val="24"/>
          <w:szCs w:val="24"/>
        </w:rPr>
        <w:t xml:space="preserve">8.2 Otros riesgos mecánicos y eléctricos a vigilar</w:t>
      </w:r>
    </w:p>
    <w:p>
      <w:pPr>
        <w:pStyle w:val="ListParagraph"/>
        <w:numPr>
          <w:ilvl w:val="0"/>
          <w:numId w:val="2"/>
        </w:numPr>
        <w:spacing w:after="80"/>
      </w:pPr>
      <w:r>
        <w:rPr>
          <w:sz w:val="21"/>
          <w:szCs w:val="21"/>
        </w:rPr>
        <w:t xml:space="preserve">Backlash y fricción en el eje Z por falta de lubricación del tornillo sin fin — pérdida de pasos del motor y degradación de la lectura de MTF.</w:t>
      </w:r>
    </w:p>
    <w:p>
      <w:pPr>
        <w:pStyle w:val="ListParagraph"/>
        <w:numPr>
          <w:ilvl w:val="0"/>
          <w:numId w:val="2"/>
        </w:numPr>
        <w:spacing w:after="80"/>
      </w:pPr>
      <w:r>
        <w:rPr>
          <w:sz w:val="21"/>
          <w:szCs w:val="21"/>
        </w:rPr>
        <w:t xml:space="preserve">Desalineamiento XY del gripper (pasivo, sin retroalimentación en línea) — puede causar caída de MTF en esquina (patrón de lente inclinada), no detectable en línea hasta falla en EOL.</w:t>
      </w:r>
    </w:p>
    <w:p>
      <w:pPr>
        <w:pStyle w:val="ListParagraph"/>
        <w:numPr>
          <w:ilvl w:val="0"/>
          <w:numId w:val="2"/>
        </w:numPr>
        <w:spacing w:after="80"/>
      </w:pPr>
      <w:r>
        <w:rPr>
          <w:sz w:val="21"/>
          <w:szCs w:val="21"/>
        </w:rPr>
        <w:t xml:space="preserve">Adhesivo DELO curado en lugares indebidos (ejes, pogo, jaws) por falta de limpieza post-turno documentada.</w:t>
      </w:r>
    </w:p>
    <w:p>
      <w:pPr>
        <w:pStyle w:val="ListParagraph"/>
        <w:numPr>
          <w:ilvl w:val="0"/>
          <w:numId w:val="2"/>
        </w:numPr>
        <w:spacing w:after="80"/>
      </w:pPr>
      <w:r>
        <w:rPr>
          <w:sz w:val="21"/>
          <w:szCs w:val="21"/>
        </w:rPr>
        <w:t xml:space="preserve">Desgaste del sello del cilindro neumático del gripper — apertura incompleta o mandíbula floja/cerrada por fuga lenta de presión.</w:t>
      </w:r>
    </w:p>
    <w:p>
      <w:pPr>
        <w:pStyle w:val="ListParagraph"/>
        <w:numPr>
          <w:ilvl w:val="0"/>
          <w:numId w:val="2"/>
        </w:numPr>
        <w:spacing w:after="80"/>
      </w:pPr>
      <w:r>
        <w:rPr>
          <w:sz w:val="21"/>
          <w:szCs w:val="21"/>
        </w:rPr>
        <w:t xml:space="preserve">Suciedad/desalineamiento del encoder de Z por polvo o spray de DELO.</w:t>
      </w:r>
    </w:p>
    <w:p>
      <w:pPr>
        <w:pStyle w:val="ListParagraph"/>
        <w:numPr>
          <w:ilvl w:val="0"/>
          <w:numId w:val="2"/>
        </w:numPr>
        <w:spacing w:after="80"/>
      </w:pPr>
      <w:r>
        <w:rPr>
          <w:sz w:val="21"/>
          <w:szCs w:val="21"/>
        </w:rPr>
        <w:t xml:space="preserve">Corrupción del programa del PLC por pérdida de energía durante escritura — no existe respaldo (backup) ni UPS instalados.</w:t>
      </w:r>
    </w:p>
    <w:p>
      <w:pPr>
        <w:pStyle w:val="ListParagraph"/>
        <w:numPr>
          <w:ilvl w:val="0"/>
          <w:numId w:val="2"/>
        </w:numPr>
        <w:spacing w:after="80"/>
      </w:pPr>
      <w:r>
        <w:rPr>
          <w:sz w:val="21"/>
          <w:szCs w:val="21"/>
        </w:rPr>
        <w:t xml:space="preserve">Brownout/caída transitoria de voltaje de 24V en horarios pico — puede causar lógica errática, lecturas de MTF erróneas o apertura parcial del gripper.</w:t>
      </w:r>
    </w:p>
    <w:p>
      <w:pPr>
        <w:pStyle w:val="ListParagraph"/>
        <w:numPr>
          <w:ilvl w:val="0"/>
          <w:numId w:val="2"/>
        </w:numPr>
        <w:spacing w:after="80"/>
      </w:pPr>
      <w:r>
        <w:rPr>
          <w:sz w:val="21"/>
          <w:szCs w:val="21"/>
        </w:rPr>
        <w:t xml:space="preserve">Degradación de la fuente UV/LED y de la óptica de colimación (polvo/DELO) — curado incompleto o heterogéneo, adhesión débil.</w:t>
      </w:r>
    </w:p>
    <w:p>
      <w:pPr>
        <w:pStyle w:val="Heading2"/>
        <w:spacing w:after="140" w:before="260"/>
      </w:pPr>
      <w:r>
        <w:rPr>
          <w:b/>
          <w:bCs/>
          <w:color w:val="3E7C8C"/>
          <w:sz w:val="24"/>
          <w:szCs w:val="24"/>
        </w:rPr>
        <w:t xml:space="preserve">8.3 Acciones de mitigación prioritarias</w:t>
      </w:r>
    </w:p>
    <w:p>
      <w:pPr>
        <w:pStyle w:val="ListParagraph"/>
        <w:numPr>
          <w:ilvl w:val="0"/>
          <w:numId w:val="3"/>
        </w:numPr>
        <w:spacing w:after="100"/>
      </w:pPr>
      <w:r>
        <w:rPr>
          <w:sz w:val="21"/>
          <w:szCs w:val="21"/>
        </w:rPr>
        <w:t xml:space="preserve">Resolver Fault 102: implementar timeout de apertura de gripper (5 s) con apertura forzada si expira.</w:t>
      </w:r>
    </w:p>
    <w:p>
      <w:pPr>
        <w:pStyle w:val="ListParagraph"/>
        <w:numPr>
          <w:ilvl w:val="0"/>
          <w:numId w:val="3"/>
        </w:numPr>
        <w:spacing w:after="100"/>
      </w:pPr>
      <w:r>
        <w:rPr>
          <w:sz w:val="21"/>
          <w:szCs w:val="21"/>
        </w:rPr>
        <w:t xml:space="preserve">Implementar limpieza semanal de DELO y ciclo programado de cambio de jaw del gripper.</w:t>
      </w:r>
    </w:p>
    <w:p>
      <w:pPr>
        <w:pStyle w:val="ListParagraph"/>
        <w:numPr>
          <w:ilvl w:val="0"/>
          <w:numId w:val="3"/>
        </w:numPr>
        <w:spacing w:after="100"/>
      </w:pPr>
      <w:r>
        <w:rPr>
          <w:sz w:val="21"/>
          <w:szCs w:val="21"/>
        </w:rPr>
        <w:t xml:space="preserve">Lubricación del eje Z cada 250 horas (especificación exacta de grasa pendiente de confirmar).</w:t>
      </w:r>
    </w:p>
    <w:p>
      <w:pPr>
        <w:pStyle w:val="ListParagraph"/>
        <w:numPr>
          <w:ilvl w:val="0"/>
          <w:numId w:val="3"/>
        </w:numPr>
        <w:spacing w:after="100"/>
      </w:pPr>
      <w:r>
        <w:rPr>
          <w:sz w:val="21"/>
          <w:szCs w:val="21"/>
        </w:rPr>
        <w:t xml:space="preserve">Documentar especificaciones exactas: modelo de FRL, presión de DELO, specs de UV, specs del motor Z, modelo de encoder.</w:t>
      </w:r>
    </w:p>
    <w:p>
      <w:pPr>
        <w:pStyle w:val="ListParagraph"/>
        <w:numPr>
          <w:ilvl w:val="0"/>
          <w:numId w:val="3"/>
        </w:numPr>
        <w:spacing w:after="100"/>
      </w:pPr>
      <w:r>
        <w:rPr>
          <w:sz w:val="21"/>
          <w:szCs w:val="21"/>
        </w:rPr>
        <w:t xml:space="preserve">Instalar UPS para el PLC y establecer respaldo (backup) periódico del programa.</w:t>
      </w:r>
    </w:p>
    <w:p>
      <w:pPr>
        <w:pStyle w:val="ListParagraph"/>
        <w:numPr>
          <w:ilvl w:val="0"/>
          <w:numId w:val="3"/>
        </w:numPr>
        <w:spacing w:after="100"/>
      </w:pPr>
      <w:r>
        <w:rPr>
          <w:sz w:val="21"/>
          <w:szCs w:val="21"/>
        </w:rPr>
        <w:t xml:space="preserve">Validación diaria: presión neumática, voltaje de 24V, temperatura de driver.</w:t>
      </w:r>
    </w:p>
    <w:p>
      <w:pPr>
        <w:pStyle w:val="ListParagraph"/>
        <w:numPr>
          <w:ilvl w:val="0"/>
          <w:numId w:val="3"/>
        </w:numPr>
        <w:spacing w:after="100"/>
      </w:pPr>
      <w:r>
        <w:rPr>
          <w:sz w:val="21"/>
          <w:szCs w:val="21"/>
        </w:rPr>
        <w:t xml:space="preserve">Implementar trending automático de: % pico de MTF, corriente del motor Z, número de reintentos por ciclo.</w:t>
      </w:r>
    </w:p>
    <w:p>
      <w:pPr>
        <w:pStyle w:val="Heading1"/>
        <w:pBdr>
          <w:bottom w:val="single" w:color="3E7C8C" w:sz="6" w:space="4"/>
        </w:pBdr>
        <w:spacing w:after="200" w:before="400"/>
      </w:pPr>
      <w:r>
        <w:rPr>
          <w:b/>
          <w:bCs/>
          <w:color w:val="2E3A45"/>
          <w:sz w:val="30"/>
          <w:szCs w:val="30"/>
        </w:rPr>
        <w:t xml:space="preserve">9.  Mantenimiento Preventivo</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2600"/>
        <w:gridCol w:w="3360"/>
      </w:tblGrid>
      <w:tr>
        <w:trPr>
          <w:tblHeader/>
        </w:trPr>
        <w:tc>
          <w:tcPr>
            <w:tcW w:type="dxa" w:w="3400"/>
            <w:shd w:fill="2E3A45" w:val="clear"/>
            <w:tcMar>
              <w:top w:type="dxa" w:w="90"/>
              <w:left w:type="dxa" w:w="120"/>
              <w:bottom w:type="dxa" w:w="90"/>
              <w:right w:type="dxa" w:w="120"/>
            </w:tcMar>
            <w:vAlign w:val="center"/>
          </w:tcPr>
          <w:p>
            <w:r>
              <w:rPr>
                <w:b/>
                <w:bCs/>
                <w:color w:val="FFFFFF"/>
                <w:sz w:val="19"/>
                <w:szCs w:val="19"/>
              </w:rPr>
              <w:t xml:space="preserve">Tarea</w:t>
            </w:r>
          </w:p>
        </w:tc>
        <w:tc>
          <w:tcPr>
            <w:tcW w:type="dxa" w:w="2600"/>
            <w:shd w:fill="2E3A45" w:val="clear"/>
            <w:tcMar>
              <w:top w:type="dxa" w:w="90"/>
              <w:left w:type="dxa" w:w="120"/>
              <w:bottom w:type="dxa" w:w="90"/>
              <w:right w:type="dxa" w:w="120"/>
            </w:tcMar>
            <w:vAlign w:val="center"/>
          </w:tcPr>
          <w:p>
            <w:r>
              <w:rPr>
                <w:b/>
                <w:bCs/>
                <w:color w:val="FFFFFF"/>
                <w:sz w:val="19"/>
                <w:szCs w:val="19"/>
              </w:rPr>
              <w:t xml:space="preserve">Frecuencia</w:t>
            </w:r>
          </w:p>
        </w:tc>
        <w:tc>
          <w:tcPr>
            <w:tcW w:type="dxa" w:w="3360"/>
            <w:shd w:fill="2E3A45" w:val="clear"/>
            <w:tcMar>
              <w:top w:type="dxa" w:w="90"/>
              <w:left w:type="dxa" w:w="120"/>
              <w:bottom w:type="dxa" w:w="90"/>
              <w:right w:type="dxa" w:w="120"/>
            </w:tcMar>
            <w:vAlign w:val="center"/>
          </w:tcPr>
          <w:p>
            <w:r>
              <w:rPr>
                <w:b/>
                <w:bCs/>
                <w:color w:val="FFFFFF"/>
                <w:sz w:val="19"/>
                <w:szCs w:val="19"/>
              </w:rPr>
              <w:t xml:space="preserve">Notas</w:t>
            </w:r>
          </w:p>
        </w:tc>
      </w:tr>
      <w:tr>
        <w:tc>
          <w:tcPr>
            <w:tcW w:type="dxa" w:w="3400"/>
            <w:shd w:fill="FFFFFF" w:val="clear"/>
            <w:tcMar>
              <w:top w:type="dxa" w:w="80"/>
              <w:left w:type="dxa" w:w="120"/>
              <w:bottom w:type="dxa" w:w="80"/>
              <w:right w:type="dxa" w:w="120"/>
            </w:tcMar>
            <w:vAlign w:val="center"/>
          </w:tcPr>
          <w:p>
            <w:r>
              <w:rPr>
                <w:sz w:val="19"/>
                <w:szCs w:val="19"/>
              </w:rPr>
              <w:t xml:space="preserve">Inspección de cortinas de seguridad, interlocks y E-Stop</w:t>
            </w:r>
          </w:p>
        </w:tc>
        <w:tc>
          <w:tcPr>
            <w:tcW w:type="dxa" w:w="2600"/>
            <w:shd w:fill="FFFFFF" w:val="clear"/>
            <w:tcMar>
              <w:top w:type="dxa" w:w="80"/>
              <w:left w:type="dxa" w:w="120"/>
              <w:bottom w:type="dxa" w:w="80"/>
              <w:right w:type="dxa" w:w="120"/>
            </w:tcMar>
            <w:vAlign w:val="center"/>
          </w:tcPr>
          <w:p>
            <w:r>
              <w:rPr>
                <w:sz w:val="19"/>
                <w:szCs w:val="19"/>
              </w:rPr>
              <w:t xml:space="preserve">Diario (inicio de turno)</w:t>
            </w:r>
          </w:p>
        </w:tc>
        <w:tc>
          <w:tcPr>
            <w:tcW w:type="dxa" w:w="3360"/>
            <w:shd w:fill="FFFFFF" w:val="clear"/>
            <w:tcMar>
              <w:top w:type="dxa" w:w="80"/>
              <w:left w:type="dxa" w:w="120"/>
              <w:bottom w:type="dxa" w:w="80"/>
              <w:right w:type="dxa" w:w="120"/>
            </w:tcMar>
            <w:vAlign w:val="center"/>
          </w:tcPr>
          <w:p>
            <w:r>
              <w:rPr>
                <w:sz w:val="19"/>
                <w:szCs w:val="19"/>
              </w:rPr>
              <w:t xml:space="preserve">Verificar respuesta correcta antes de producción.</w:t>
            </w:r>
          </w:p>
        </w:tc>
      </w:tr>
      <w:tr>
        <w:tc>
          <w:tcPr>
            <w:tcW w:type="dxa" w:w="3400"/>
            <w:shd w:fill="F2F2F2" w:val="clear"/>
            <w:tcMar>
              <w:top w:type="dxa" w:w="80"/>
              <w:left w:type="dxa" w:w="120"/>
              <w:bottom w:type="dxa" w:w="80"/>
              <w:right w:type="dxa" w:w="120"/>
            </w:tcMar>
            <w:vAlign w:val="center"/>
          </w:tcPr>
          <w:p>
            <w:r>
              <w:rPr>
                <w:sz w:val="19"/>
                <w:szCs w:val="19"/>
              </w:rPr>
              <w:t xml:space="preserve">Limpieza de residuos de DELO en la estación</w:t>
            </w:r>
          </w:p>
        </w:tc>
        <w:tc>
          <w:tcPr>
            <w:tcW w:type="dxa" w:w="2600"/>
            <w:shd w:fill="F2F2F2" w:val="clear"/>
            <w:tcMar>
              <w:top w:type="dxa" w:w="80"/>
              <w:left w:type="dxa" w:w="120"/>
              <w:bottom w:type="dxa" w:w="80"/>
              <w:right w:type="dxa" w:w="120"/>
            </w:tcMar>
            <w:vAlign w:val="center"/>
          </w:tcPr>
          <w:p>
            <w:r>
              <w:rPr>
                <w:sz w:val="19"/>
                <w:szCs w:val="19"/>
              </w:rPr>
              <w:t xml:space="preserve">Diario / post-turno</w:t>
            </w:r>
          </w:p>
        </w:tc>
        <w:tc>
          <w:tcPr>
            <w:tcW w:type="dxa" w:w="3360"/>
            <w:shd w:fill="F2F2F2" w:val="clear"/>
            <w:tcMar>
              <w:top w:type="dxa" w:w="80"/>
              <w:left w:type="dxa" w:w="120"/>
              <w:bottom w:type="dxa" w:w="80"/>
              <w:right w:type="dxa" w:w="120"/>
            </w:tcMar>
            <w:vAlign w:val="center"/>
          </w:tcPr>
          <w:p>
            <w:r>
              <w:rPr>
                <w:sz w:val="19"/>
                <w:szCs w:val="19"/>
              </w:rPr>
              <w:t xml:space="preserve">No es procedimiento documentado actualmente — se recomienda formalizarlo.</w:t>
            </w:r>
          </w:p>
        </w:tc>
      </w:tr>
      <w:tr>
        <w:tc>
          <w:tcPr>
            <w:tcW w:type="dxa" w:w="3400"/>
            <w:shd w:fill="FFFFFF" w:val="clear"/>
            <w:tcMar>
              <w:top w:type="dxa" w:w="80"/>
              <w:left w:type="dxa" w:w="120"/>
              <w:bottom w:type="dxa" w:w="80"/>
              <w:right w:type="dxa" w:w="120"/>
            </w:tcMar>
            <w:vAlign w:val="center"/>
          </w:tcPr>
          <w:p>
            <w:r>
              <w:rPr>
                <w:sz w:val="19"/>
                <w:szCs w:val="19"/>
              </w:rPr>
              <w:t xml:space="preserve">Limpieza de pines del pogo de contacto</w:t>
            </w:r>
          </w:p>
        </w:tc>
        <w:tc>
          <w:tcPr>
            <w:tcW w:type="dxa" w:w="2600"/>
            <w:shd w:fill="FFFFFF" w:val="clear"/>
            <w:tcMar>
              <w:top w:type="dxa" w:w="80"/>
              <w:left w:type="dxa" w:w="120"/>
              <w:bottom w:type="dxa" w:w="80"/>
              <w:right w:type="dxa" w:w="120"/>
            </w:tcMar>
            <w:vAlign w:val="center"/>
          </w:tcPr>
          <w:p>
            <w:r>
              <w:rPr>
                <w:sz w:val="19"/>
                <w:szCs w:val="19"/>
              </w:rPr>
              <w:t xml:space="preserve">Semanal o ante fallas de comunicación intermitentes</w:t>
            </w:r>
          </w:p>
        </w:tc>
        <w:tc>
          <w:tcPr>
            <w:tcW w:type="dxa" w:w="3360"/>
            <w:shd w:fill="FFFFFF" w:val="clear"/>
            <w:tcMar>
              <w:top w:type="dxa" w:w="80"/>
              <w:left w:type="dxa" w:w="120"/>
              <w:bottom w:type="dxa" w:w="80"/>
              <w:right w:type="dxa" w:w="120"/>
            </w:tcMar>
            <w:vAlign w:val="center"/>
          </w:tcPr>
          <w:p>
            <w:r>
              <w:rPr>
                <w:sz w:val="19"/>
                <w:szCs w:val="19"/>
              </w:rPr>
              <w:t xml:space="preserve">Usar alcohol; revisar pines atascados.</w:t>
            </w:r>
          </w:p>
        </w:tc>
      </w:tr>
      <w:tr>
        <w:tc>
          <w:tcPr>
            <w:tcW w:type="dxa" w:w="3400"/>
            <w:shd w:fill="F2F2F2" w:val="clear"/>
            <w:tcMar>
              <w:top w:type="dxa" w:w="80"/>
              <w:left w:type="dxa" w:w="120"/>
              <w:bottom w:type="dxa" w:w="80"/>
              <w:right w:type="dxa" w:w="120"/>
            </w:tcMar>
            <w:vAlign w:val="center"/>
          </w:tcPr>
          <w:p>
            <w:r>
              <w:rPr>
                <w:sz w:val="19"/>
                <w:szCs w:val="19"/>
              </w:rPr>
              <w:t xml:space="preserve">Cambio de jaw del gripper</w:t>
            </w:r>
          </w:p>
        </w:tc>
        <w:tc>
          <w:tcPr>
            <w:tcW w:type="dxa" w:w="2600"/>
            <w:shd w:fill="F2F2F2" w:val="clear"/>
            <w:tcMar>
              <w:top w:type="dxa" w:w="80"/>
              <w:left w:type="dxa" w:w="120"/>
              <w:bottom w:type="dxa" w:w="80"/>
              <w:right w:type="dxa" w:w="120"/>
            </w:tcMar>
            <w:vAlign w:val="center"/>
          </w:tcPr>
          <w:p>
            <w:r>
              <w:rPr>
                <w:sz w:val="19"/>
                <w:szCs w:val="19"/>
              </w:rPr>
              <w:t xml:space="preserve">Programado por ciclos (definir N ciclos)</w:t>
            </w:r>
          </w:p>
        </w:tc>
        <w:tc>
          <w:tcPr>
            <w:tcW w:type="dxa" w:w="3360"/>
            <w:shd w:fill="F2F2F2" w:val="clear"/>
            <w:tcMar>
              <w:top w:type="dxa" w:w="80"/>
              <w:left w:type="dxa" w:w="120"/>
              <w:bottom w:type="dxa" w:w="80"/>
              <w:right w:type="dxa" w:w="120"/>
            </w:tcMar>
            <w:vAlign w:val="center"/>
          </w:tcPr>
          <w:p>
            <w:r>
              <w:rPr>
                <w:sz w:val="19"/>
                <w:szCs w:val="19"/>
              </w:rPr>
              <w:t xml:space="preserve">Correlaciona con Fault 155 (drift post-UV).</w:t>
            </w:r>
          </w:p>
        </w:tc>
      </w:tr>
      <w:tr>
        <w:tc>
          <w:tcPr>
            <w:tcW w:type="dxa" w:w="3400"/>
            <w:shd w:fill="FFFFFF" w:val="clear"/>
            <w:tcMar>
              <w:top w:type="dxa" w:w="80"/>
              <w:left w:type="dxa" w:w="120"/>
              <w:bottom w:type="dxa" w:w="80"/>
              <w:right w:type="dxa" w:w="120"/>
            </w:tcMar>
            <w:vAlign w:val="center"/>
          </w:tcPr>
          <w:p>
            <w:r>
              <w:rPr>
                <w:sz w:val="19"/>
                <w:szCs w:val="19"/>
              </w:rPr>
              <w:t xml:space="preserve">Lubricación del eje Z</w:t>
            </w:r>
          </w:p>
        </w:tc>
        <w:tc>
          <w:tcPr>
            <w:tcW w:type="dxa" w:w="2600"/>
            <w:shd w:fill="FFFFFF" w:val="clear"/>
            <w:tcMar>
              <w:top w:type="dxa" w:w="80"/>
              <w:left w:type="dxa" w:w="120"/>
              <w:bottom w:type="dxa" w:w="80"/>
              <w:right w:type="dxa" w:w="120"/>
            </w:tcMar>
            <w:vAlign w:val="center"/>
          </w:tcPr>
          <w:p>
            <w:r>
              <w:rPr>
                <w:sz w:val="19"/>
                <w:szCs w:val="19"/>
              </w:rPr>
              <w:t xml:space="preserve">Cada 250 horas</w:t>
            </w:r>
          </w:p>
        </w:tc>
        <w:tc>
          <w:tcPr>
            <w:tcW w:type="dxa" w:w="3360"/>
            <w:shd w:fill="FFFFFF" w:val="clear"/>
            <w:tcMar>
              <w:top w:type="dxa" w:w="80"/>
              <w:left w:type="dxa" w:w="120"/>
              <w:bottom w:type="dxa" w:w="80"/>
              <w:right w:type="dxa" w:w="120"/>
            </w:tcMar>
            <w:vAlign w:val="center"/>
          </w:tcPr>
          <w:p>
            <w:r>
              <w:rPr>
                <w:sz w:val="19"/>
                <w:szCs w:val="19"/>
              </w:rPr>
              <w:t xml:space="preserve">Especificación exacta de grasa pendiente de confirmar.</w:t>
            </w:r>
          </w:p>
        </w:tc>
      </w:tr>
      <w:tr>
        <w:tc>
          <w:tcPr>
            <w:tcW w:type="dxa" w:w="3400"/>
            <w:shd w:fill="F2F2F2" w:val="clear"/>
            <w:tcMar>
              <w:top w:type="dxa" w:w="80"/>
              <w:left w:type="dxa" w:w="120"/>
              <w:bottom w:type="dxa" w:w="80"/>
              <w:right w:type="dxa" w:w="120"/>
            </w:tcMar>
            <w:vAlign w:val="center"/>
          </w:tcPr>
          <w:p>
            <w:r>
              <w:rPr>
                <w:sz w:val="19"/>
                <w:szCs w:val="19"/>
              </w:rPr>
              <w:t xml:space="preserve">Revisión de presión neumática (FRL) y fugas</w:t>
            </w:r>
          </w:p>
        </w:tc>
        <w:tc>
          <w:tcPr>
            <w:tcW w:type="dxa" w:w="2600"/>
            <w:shd w:fill="F2F2F2" w:val="clear"/>
            <w:tcMar>
              <w:top w:type="dxa" w:w="80"/>
              <w:left w:type="dxa" w:w="120"/>
              <w:bottom w:type="dxa" w:w="80"/>
              <w:right w:type="dxa" w:w="120"/>
            </w:tcMar>
            <w:vAlign w:val="center"/>
          </w:tcPr>
          <w:p>
            <w:r>
              <w:rPr>
                <w:sz w:val="19"/>
                <w:szCs w:val="19"/>
              </w:rPr>
              <w:t xml:space="preserve">Diario</w:t>
            </w:r>
          </w:p>
        </w:tc>
        <w:tc>
          <w:tcPr>
            <w:tcW w:type="dxa" w:w="3360"/>
            <w:shd w:fill="F2F2F2" w:val="clear"/>
            <w:tcMar>
              <w:top w:type="dxa" w:w="80"/>
              <w:left w:type="dxa" w:w="120"/>
              <w:bottom w:type="dxa" w:w="80"/>
              <w:right w:type="dxa" w:w="120"/>
            </w:tcMar>
            <w:vAlign w:val="center"/>
          </w:tcPr>
          <w:p>
            <w:r>
              <w:rPr>
                <w:sz w:val="19"/>
                <w:szCs w:val="19"/>
              </w:rPr>
              <w:t xml:space="preserve">Sin modelo de FRL documentado; se recomienda identificarlo y agendar servicio.</w:t>
            </w:r>
          </w:p>
        </w:tc>
      </w:tr>
      <w:tr>
        <w:tc>
          <w:tcPr>
            <w:tcW w:type="dxa" w:w="3400"/>
            <w:shd w:fill="FFFFFF" w:val="clear"/>
            <w:tcMar>
              <w:top w:type="dxa" w:w="80"/>
              <w:left w:type="dxa" w:w="120"/>
              <w:bottom w:type="dxa" w:w="80"/>
              <w:right w:type="dxa" w:w="120"/>
            </w:tcMar>
            <w:vAlign w:val="center"/>
          </w:tcPr>
          <w:p>
            <w:r>
              <w:rPr>
                <w:sz w:val="19"/>
                <w:szCs w:val="19"/>
              </w:rPr>
              <w:t xml:space="preserve">Respaldo (backup) del programa del PLC</w:t>
            </w:r>
          </w:p>
        </w:tc>
        <w:tc>
          <w:tcPr>
            <w:tcW w:type="dxa" w:w="2600"/>
            <w:shd w:fill="FFFFFF" w:val="clear"/>
            <w:tcMar>
              <w:top w:type="dxa" w:w="80"/>
              <w:left w:type="dxa" w:w="120"/>
              <w:bottom w:type="dxa" w:w="80"/>
              <w:right w:type="dxa" w:w="120"/>
            </w:tcMar>
            <w:vAlign w:val="center"/>
          </w:tcPr>
          <w:p>
            <w:r>
              <w:rPr>
                <w:sz w:val="19"/>
                <w:szCs w:val="19"/>
              </w:rPr>
              <w:t xml:space="preserve">Después de cualquier cambio de programa</w:t>
            </w:r>
          </w:p>
        </w:tc>
        <w:tc>
          <w:tcPr>
            <w:tcW w:type="dxa" w:w="3360"/>
            <w:shd w:fill="FFFFFF" w:val="clear"/>
            <w:tcMar>
              <w:top w:type="dxa" w:w="80"/>
              <w:left w:type="dxa" w:w="120"/>
              <w:bottom w:type="dxa" w:w="80"/>
              <w:right w:type="dxa" w:w="120"/>
            </w:tcMar>
            <w:vAlign w:val="center"/>
          </w:tcPr>
          <w:p>
            <w:r>
              <w:rPr>
                <w:sz w:val="19"/>
                <w:szCs w:val="19"/>
              </w:rPr>
              <w:t xml:space="preserve">No existe respaldo actualmente; instalar UPS y definir procedimiento.</w:t>
            </w:r>
          </w:p>
        </w:tc>
      </w:tr>
    </w:tbl>
    <w:p>
      <w:pPr>
        <w:pStyle w:val="Heading1"/>
        <w:pBdr>
          <w:bottom w:val="single" w:color="3E7C8C" w:sz="6" w:space="4"/>
        </w:pBdr>
        <w:spacing w:after="200" w:before="400"/>
      </w:pPr>
      <w:r>
        <w:rPr>
          <w:b/>
          <w:bCs/>
          <w:color w:val="2E3A45"/>
          <w:sz w:val="30"/>
          <w:szCs w:val="30"/>
        </w:rPr>
        <w:t xml:space="preserve">10.  Garantía y Contacto del Proveedor</w:t>
      </w:r>
    </w:p>
    <w:p>
      <w:pPr>
        <w:spacing w:after="160" w:line="300"/>
      </w:pPr>
      <w:r>
        <w:rPr>
          <w:sz w:val="21"/>
          <w:szCs w:val="21"/>
        </w:rPr>
        <w:t xml:space="preserve">Para soporte técnico, refacciones o consultas sobre garantía de esta estación, contacte a ITO GROUP a través del canal de soporte asignado al proyecto.</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160"/>
      </w:tblGrid>
      <w:tr>
        <w:tc>
          <w:tcPr>
            <w:tcW w:type="dxa" w:w="3200"/>
            <w:shd w:fill="F2F2F2" w:val="clear"/>
            <w:tcMar>
              <w:top w:type="dxa" w:w="100"/>
              <w:left w:type="dxa" w:w="140"/>
              <w:bottom w:type="dxa" w:w="100"/>
              <w:right w:type="dxa" w:w="140"/>
            </w:tcMar>
            <w:vAlign w:val="center"/>
          </w:tcPr>
          <w:p>
            <w:r>
              <w:rPr>
                <w:b/>
                <w:bCs/>
                <w:sz w:val="20"/>
                <w:szCs w:val="20"/>
              </w:rPr>
              <w:t xml:space="preserve">Proveedor</w:t>
            </w:r>
          </w:p>
        </w:tc>
        <w:tc>
          <w:tcPr>
            <w:tcW w:type="dxa" w:w="6160"/>
            <w:tcMar>
              <w:top w:type="dxa" w:w="100"/>
              <w:left w:type="dxa" w:w="140"/>
              <w:bottom w:type="dxa" w:w="100"/>
              <w:right w:type="dxa" w:w="140"/>
            </w:tcMar>
            <w:vAlign w:val="center"/>
          </w:tcPr>
          <w:p>
            <w:r>
              <w:rPr>
                <w:sz w:val="20"/>
                <w:szCs w:val="20"/>
              </w:rPr>
              <w:t xml:space="preserve">ITO GROUP</w:t>
            </w:r>
          </w:p>
        </w:tc>
      </w:tr>
      <w:tr>
        <w:tc>
          <w:tcPr>
            <w:tcW w:type="dxa" w:w="3200"/>
            <w:shd w:fill="F2F2F2" w:val="clear"/>
            <w:tcMar>
              <w:top w:type="dxa" w:w="100"/>
              <w:left w:type="dxa" w:w="140"/>
              <w:bottom w:type="dxa" w:w="100"/>
              <w:right w:type="dxa" w:w="140"/>
            </w:tcMar>
            <w:vAlign w:val="center"/>
          </w:tcPr>
          <w:p>
            <w:r>
              <w:rPr>
                <w:b/>
                <w:bCs/>
                <w:sz w:val="20"/>
                <w:szCs w:val="20"/>
              </w:rPr>
              <w:t xml:space="preserve">Equipo</w:t>
            </w:r>
          </w:p>
        </w:tc>
        <w:tc>
          <w:tcPr>
            <w:tcW w:type="dxa" w:w="6160"/>
            <w:tcMar>
              <w:top w:type="dxa" w:w="100"/>
              <w:left w:type="dxa" w:w="140"/>
              <w:bottom w:type="dxa" w:w="100"/>
              <w:right w:type="dxa" w:w="140"/>
            </w:tcMar>
            <w:vAlign w:val="center"/>
          </w:tcPr>
          <w:p>
            <w:r>
              <w:rPr>
                <w:sz w:val="20"/>
                <w:szCs w:val="20"/>
              </w:rPr>
              <w:t xml:space="preserve">Kasalis PIXID 500</w:t>
            </w:r>
          </w:p>
        </w:tc>
      </w:tr>
      <w:tr>
        <w:tc>
          <w:tcPr>
            <w:tcW w:type="dxa" w:w="3200"/>
            <w:shd w:fill="F2F2F2" w:val="clear"/>
            <w:tcMar>
              <w:top w:type="dxa" w:w="100"/>
              <w:left w:type="dxa" w:w="140"/>
              <w:bottom w:type="dxa" w:w="100"/>
              <w:right w:type="dxa" w:w="140"/>
            </w:tcMar>
            <w:vAlign w:val="center"/>
          </w:tcPr>
          <w:p>
            <w:r>
              <w:rPr>
                <w:b/>
                <w:bCs/>
                <w:sz w:val="20"/>
                <w:szCs w:val="20"/>
              </w:rPr>
              <w:t xml:space="preserve">Líneas que abastece</w:t>
            </w:r>
          </w:p>
        </w:tc>
        <w:tc>
          <w:tcPr>
            <w:tcW w:type="dxa" w:w="6160"/>
            <w:tcMar>
              <w:top w:type="dxa" w:w="100"/>
              <w:left w:type="dxa" w:w="140"/>
              <w:bottom w:type="dxa" w:w="100"/>
              <w:right w:type="dxa" w:w="140"/>
            </w:tcMar>
            <w:vAlign w:val="center"/>
          </w:tcPr>
          <w:p>
            <w:r>
              <w:rPr>
                <w:sz w:val="20"/>
                <w:szCs w:val="20"/>
              </w:rPr>
              <w:t xml:space="preserve">SCORPION (76°/95°/131°/135°/133.4°), MOOSE, GECKO, INFURROW</w:t>
            </w:r>
          </w:p>
        </w:tc>
      </w:tr>
      <w:tr>
        <w:tc>
          <w:tcPr>
            <w:tcW w:type="dxa" w:w="3200"/>
            <w:shd w:fill="F2F2F2" w:val="clear"/>
            <w:tcMar>
              <w:top w:type="dxa" w:w="100"/>
              <w:left w:type="dxa" w:w="140"/>
              <w:bottom w:type="dxa" w:w="100"/>
              <w:right w:type="dxa" w:w="140"/>
            </w:tcMar>
            <w:vAlign w:val="center"/>
          </w:tcPr>
          <w:p>
            <w:r>
              <w:rPr>
                <w:b/>
                <w:bCs/>
                <w:sz w:val="20"/>
                <w:szCs w:val="20"/>
              </w:rPr>
              <w:t xml:space="preserve">Documento</w:t>
            </w:r>
          </w:p>
        </w:tc>
        <w:tc>
          <w:tcPr>
            <w:tcW w:type="dxa" w:w="6160"/>
            <w:tcMar>
              <w:top w:type="dxa" w:w="100"/>
              <w:left w:type="dxa" w:w="140"/>
              <w:bottom w:type="dxa" w:w="100"/>
              <w:right w:type="dxa" w:w="140"/>
            </w:tcMar>
            <w:vAlign w:val="center"/>
          </w:tcPr>
          <w:p>
            <w:r>
              <w:rPr>
                <w:sz w:val="20"/>
                <w:szCs w:val="20"/>
              </w:rPr>
              <w:t xml:space="preserve">ITO-KASALIS-OM-001, Rev. A</w:t>
            </w:r>
          </w:p>
        </w:tc>
      </w:tr>
    </w:tbl>
    <w:p>
      <w:pPr>
        <w:spacing w:before="500"/>
        <w:jc w:val="center"/>
      </w:pPr>
      <w:r>
        <w:drawing>
          <wp:inline distT="0" distB="0" distL="0" distR="0">
            <wp:extent cx="85725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 cy="447675"/>
                    </a:xfrm>
                    <a:prstGeom prst="rect">
                      <a:avLst/>
                    </a:prstGeom>
                  </pic:spPr>
                </pic:pic>
              </a:graphicData>
            </a:graphic>
          </wp:inline>
        </w:drawing>
      </w:r>
    </w:p>
    <w:sectPr>
      <w:headerReference w:type="default" r:id="rId7"/>
      <w:footerReference w:type="default" r:id="rId8"/>
      <w:pgSz w:w="12240" w:h="15840" w:orient="portrait"/>
      <w:pgMar w:top="10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999999"/>
        <w:sz w:val="15"/>
        <w:szCs w:val="15"/>
      </w:rPr>
      <w:t xml:space="preserve">ITO GROUP — Documento de proveedor  |  Uso interno Jabil</w:t>
    </w:r>
    <w:r>
      <w:t xml:space="preserve">	</w:t>
    </w:r>
    <w:r>
      <w:rPr>
        <w:color w:val="999999"/>
        <w:sz w:val="15"/>
        <w:szCs w:val="15"/>
      </w:rPr>
      <w:t xml:space="preserve">Página </w:t>
    </w:r>
    <w:r>
      <w:rPr>
        <w:color w:val="999999"/>
        <w:sz w:val="15"/>
        <w:szCs w:val="15"/>
      </w:rPr>
      <w:fldChar w:fldCharType="begin"/>
      <w:instrText xml:space="preserve">PAGE</w:instrText>
      <w:fldChar w:fldCharType="separate"/>
      <w:fldChar w:fldCharType="end"/>
    </w:r>
    <w:r>
      <w:rPr>
        <w:color w:val="999999"/>
        <w:sz w:val="15"/>
        <w:szCs w:val="15"/>
      </w:rPr>
      <w:t xml:space="preserve"> de </w:t>
    </w:r>
    <w:r>
      <w:rPr>
        <w:color w:val="99999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drawing>
        <wp:inline distT="0" distB="0" distL="0" distR="0">
          <wp:extent cx="85725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371475"/>
                  </a:xfrm>
                  <a:prstGeom prst="rect">
                    <a:avLst/>
                  </a:prstGeom>
                </pic:spPr>
              </pic:pic>
            </a:graphicData>
          </a:graphic>
        </wp:inline>
      </w:drawing>
    </w:r>
    <w:r>
      <w:t xml:space="preserve">	</w:t>
    </w:r>
    <w:r>
      <w:rPr>
        <w:color w:val="777777"/>
        <w:sz w:val="16"/>
        <w:szCs w:val="16"/>
      </w:rPr>
      <w:t xml:space="preserve">Manual de Operación y Mantenimiento — Kasalis PIXID 500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12bf701528beec2c7bec03b93b8dd07c4b2090b.jpg"/><Relationship Id="rId10" Type="http://schemas.openxmlformats.org/officeDocument/2006/relationships/image" Target="media/44376aa0fb08cf7fc09af36088e65f0e1e1f5e27.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12bf701528beec2c7bec03b93b8dd07c4b2090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Operación y Mantenimiento — Kasalis PIXID 500</dc:title>
  <dc:creator>ITO GROUP</dc:creator>
  <cp:lastModifiedBy>Un-named</cp:lastModifiedBy>
  <cp:revision>1</cp:revision>
  <dcterms:created xsi:type="dcterms:W3CDTF">2026-09-22T03:50:18.282Z</dcterms:created>
  <dcterms:modified xsi:type="dcterms:W3CDTF">2026-09-22T03:50:18.284Z</dcterms:modified>
</cp:coreProperties>
</file>

<file path=docProps/custom.xml><?xml version="1.0" encoding="utf-8"?>
<Properties xmlns="http://schemas.openxmlformats.org/officeDocument/2006/custom-properties" xmlns:vt="http://schemas.openxmlformats.org/officeDocument/2006/docPropsVTypes"/>
</file>