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rPr>
      </w:pPr>
      <w:bookmarkStart w:colFirst="0" w:colLast="0" w:name="_gk4q9bogx9jt" w:id="0"/>
      <w:bookmarkEnd w:id="0"/>
      <w:r w:rsidDel="00000000" w:rsidR="00000000" w:rsidRPr="00000000">
        <w:rPr>
          <w:rtl w:val="0"/>
        </w:rPr>
      </w:r>
    </w:p>
    <w:p w:rsidR="00000000" w:rsidDel="00000000" w:rsidP="00000000" w:rsidRDefault="00000000" w:rsidRPr="00000000" w14:paraId="00000002">
      <w:pPr>
        <w:pStyle w:val="Title"/>
        <w:rPr>
          <w:rFonts w:ascii="Calibri" w:cs="Calibri" w:eastAsia="Calibri" w:hAnsi="Calibri"/>
        </w:rPr>
      </w:pPr>
      <w:bookmarkStart w:colFirst="0" w:colLast="0" w:name="_g7qzohdioxy0" w:id="1"/>
      <w:bookmarkEnd w:id="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231787</wp:posOffset>
                </wp:positionV>
                <wp:extent cx="6238875" cy="1576337"/>
                <wp:effectExtent b="0" l="0" r="0" t="0"/>
                <wp:wrapNone/>
                <wp:docPr id="1"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231787</wp:posOffset>
                </wp:positionV>
                <wp:extent cx="6238875" cy="1576337"/>
                <wp:effectExtent b="0" l="0" r="0" t="0"/>
                <wp:wrapNone/>
                <wp:docPr id="1" name="image28.png"/>
                <a:graphic>
                  <a:graphicData uri="http://schemas.openxmlformats.org/drawingml/2006/picture">
                    <pic:pic>
                      <pic:nvPicPr>
                        <pic:cNvPr id="0" name="image28.png"/>
                        <pic:cNvPicPr preferRelativeResize="0"/>
                      </pic:nvPicPr>
                      <pic:blipFill>
                        <a:blip r:embed="rId6"/>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3">
      <w:pPr>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141300</wp:posOffset>
            </wp:positionV>
            <wp:extent cx="743941" cy="743941"/>
            <wp:effectExtent b="0" l="0" r="0" t="0"/>
            <wp:wrapNone/>
            <wp:docPr id="21"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743941" cy="743941"/>
                    </a:xfrm>
                    <a:prstGeom prst="rect"/>
                    <a:ln/>
                  </pic:spPr>
                </pic:pic>
              </a:graphicData>
            </a:graphic>
          </wp:anchor>
        </w:drawing>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pStyle w:val="Title"/>
        <w:keepLines w:val="0"/>
        <w:spacing w:after="0" w:before="0" w:lineRule="auto"/>
        <w:ind w:left="0" w:firstLine="0"/>
        <w:rPr>
          <w:rFonts w:ascii="Calibri" w:cs="Calibri" w:eastAsia="Calibri" w:hAnsi="Calibri"/>
        </w:rPr>
      </w:pPr>
      <w:bookmarkStart w:colFirst="0" w:colLast="0" w:name="_qr24yoe3csd9" w:id="2"/>
      <w:bookmarkEnd w:id="2"/>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keepLines w:val="0"/>
        <w:spacing w:after="0" w:before="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pStyle w:val="Title"/>
        <w:jc w:val="center"/>
        <w:rPr>
          <w:rFonts w:ascii="Calibri" w:cs="Calibri" w:eastAsia="Calibri" w:hAnsi="Calibri"/>
          <w:b w:val="1"/>
          <w:bCs w:val="1"/>
          <w:sz w:val="22"/>
          <w:szCs w:val="22"/>
        </w:rPr>
      </w:pPr>
      <w:bookmarkStart w:colFirst="0" w:colLast="0" w:name="_kjrjajymcriz" w:id="3"/>
      <w:bookmarkEnd w:id="3"/>
      <w:r w:rsidDel="00000000" w:rsidR="00000000" w:rsidRPr="00000000">
        <w:rPr>
          <w:rFonts w:ascii="Calibri" w:cs="Calibri" w:eastAsia="Calibri" w:hAnsi="Calibri"/>
          <w:b w:val="1"/>
          <w:bCs w:val="1"/>
          <w:sz w:val="60"/>
          <w:szCs w:val="60"/>
          <w:rtl w:val="0"/>
        </w:rPr>
        <w:t xml:space="preserve">NormIA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Informe técnico de avance - Fase 2 </w:t>
      </w:r>
    </w:p>
    <w:p w:rsidR="00000000" w:rsidDel="00000000" w:rsidP="00000000" w:rsidRDefault="00000000" w:rsidRPr="00000000" w14:paraId="0000000F">
      <w:pPr>
        <w:jc w:val="center"/>
        <w:rPr>
          <w:rFonts w:ascii="Calibri" w:cs="Calibri" w:eastAsia="Calibri" w:hAnsi="Calibri"/>
        </w:rPr>
      </w:pPr>
      <w:r w:rsidDel="00000000" w:rsidR="00000000" w:rsidRPr="00000000">
        <w:rPr>
          <w:rFonts w:ascii="Calibri" w:cs="Calibri" w:eastAsia="Calibri" w:hAnsi="Calibri"/>
          <w:rtl w:val="0"/>
        </w:rPr>
        <w:t xml:space="preserve">Plataforma GRC para apoyar la gestión ISO 27001 y la Ley N° 21.719</w:t>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6720"/>
        <w:tblGridChange w:id="0">
          <w:tblGrid>
            <w:gridCol w:w="2280"/>
            <w:gridCol w:w="672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Integrante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Rol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Celine Alcaíno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Front End / UI e integración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Raúl Barrera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Back End /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Justo Cano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Líder / QA / Gestión</w:t>
            </w:r>
          </w:p>
        </w:tc>
      </w:tr>
    </w:tbl>
    <w:p w:rsidR="00000000" w:rsidDel="00000000" w:rsidP="00000000" w:rsidRDefault="00000000" w:rsidRPr="00000000" w14:paraId="0000002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7">
      <w:pPr>
        <w:spacing w:after="160" w:line="259"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8">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sz w:val="28"/>
          <w:szCs w:val="28"/>
          <w:rtl w:val="0"/>
        </w:rPr>
        <w:t xml:space="preserve">Contenido</w:t>
      </w:r>
      <w:r w:rsidDel="00000000" w:rsidR="00000000" w:rsidRPr="00000000">
        <w:rPr>
          <w:rtl w:val="0"/>
        </w:rPr>
      </w:r>
    </w:p>
    <w:sdt>
      <w:sdtPr>
        <w:id w:val="-185866844"/>
        <w:docPartObj>
          <w:docPartGallery w:val="Table of Contents"/>
          <w:docPartUnique w:val="1"/>
        </w:docPartObj>
      </w:sdtPr>
      <w:sdtContent>
        <w:p w:rsidR="00000000" w:rsidDel="00000000" w:rsidP="00000000" w:rsidRDefault="00000000" w:rsidRPr="00000000" w14:paraId="00000029">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twqrsxsw2u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Resumen del Proyecto</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tdxhycle5sl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Contexto y relevancia del proyecto</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ll5u6b8dfea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Objetivos y estado de avance</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rffzfgoqsp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3.1 Objetivo general</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8ve205ketd3n">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3.2 Objetivos específicos</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f70rmq9x0pk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Alcance inicial v/s alcance real</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pngajiwo61n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Metodología</w:t>
              <w:tab/>
              <w:t xml:space="preserve">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khuenognwff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Arquitectura - Modelo 4+1</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pu03qkfd81l0">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6.1 Vista lógica</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tvsrmt3j3gnb">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6.2 Vista de desarrollo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iq4s0wkad95k">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6.3 Vista de procesos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go7xza14wm9o">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6.4 Vista física - despliegue y ejecución</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bgxr26wnv979">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6.5 Vista de escenarios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amolbhhkary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Tabla de secuencias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1hs8kmfa7pw8">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7.1. Evaluar documentos con IA</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a8me5gpee1w1">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7.2. Chatbot con RAG</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m4wi2o9j9eoz">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7.3. Consentimiento del titular (Ley 21.719)</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9nql74qx3n5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Diagramas de flujo de procesos</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ekj7ga5swoos">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8.1. Crear una empresa nueva</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qt4cdn7kxmi7">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8.2. Extraer tratamientos desde documentos</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e07k18wj653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8.3. Evaluar documentos con IA</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kwvjzwxlnh4v">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8.4. Entrar a una empresa</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wvk9epdzsss4">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8.5. Mapa de riesgos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lxhl69tflxaf">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8.6. Registrar una empresa nueva</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qs09woqn5rp">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8.7. Invitar un usuario a mi empresa</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g7u9icxui636">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Tecnologías e infraestructura</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yzs3tl738t6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Desarrollo Fase 2</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rm11cemhlve6">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10.1 Front-End, UX e identidad NormIA</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fcu9yrqwyfb2">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10.2 Back-End, API</w:t>
              <w:tab/>
              <w:t xml:space="preserve">12</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kmesl920jvwr">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10.3 Módulos asociados a la Ley N° 21.719</w:t>
              <w:tab/>
              <w:t xml:space="preserve">13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7vpu0t1xvfnm">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10.4 Multi-tenant y superadministración</w:t>
              <w:tab/>
              <w:t xml:space="preserve">14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i5nxqlhprl8">
            <w:r w:rsidDel="00000000" w:rsidR="00000000" w:rsidRPr="00000000">
              <w:rPr>
                <w:rFonts w:ascii="Calibri" w:cs="Calibri" w:eastAsia="Calibri" w:hAnsi="Calibri"/>
                <w:i w:val="0"/>
                <w:iCs w:val="0"/>
                <w:smallCaps w:val="0"/>
                <w:strike w:val="0"/>
                <w:color w:val="000000"/>
                <w:sz w:val="22"/>
                <w:szCs w:val="22"/>
                <w:u w:val="none"/>
                <w:shd w:fill="auto" w:val="clear"/>
                <w:vertAlign w:val="baseline"/>
                <w:rtl w:val="0"/>
              </w:rPr>
              <w:t xml:space="preserve">10.5 Integración y configuración</w:t>
              <w:tab/>
              <w:t xml:space="preserve">14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x43jghvii5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Evidencias técnicas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4F">
      <w:pPr>
        <w:pStyle w:val="Heading1"/>
        <w:numPr>
          <w:ilvl w:val="0"/>
          <w:numId w:val="2"/>
        </w:numPr>
        <w:ind w:left="720" w:hanging="360"/>
        <w:jc w:val="left"/>
        <w:rPr>
          <w:rFonts w:ascii="Calibri" w:cs="Calibri" w:eastAsia="Calibri" w:hAnsi="Calibri"/>
          <w:sz w:val="32"/>
          <w:szCs w:val="32"/>
        </w:rPr>
      </w:pPr>
      <w:bookmarkStart w:colFirst="0" w:colLast="0" w:name="_rtwqrsxsw2ug" w:id="4"/>
      <w:bookmarkEnd w:id="4"/>
      <w:r w:rsidDel="00000000" w:rsidR="00000000" w:rsidRPr="00000000">
        <w:rPr>
          <w:rFonts w:ascii="Calibri" w:cs="Calibri" w:eastAsia="Calibri" w:hAnsi="Calibri"/>
          <w:sz w:val="32"/>
          <w:szCs w:val="32"/>
          <w:rtl w:val="0"/>
        </w:rPr>
        <w:t xml:space="preserve">Resumen del Proyecto</w:t>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NormIA</w:t>
      </w:r>
      <w:r w:rsidDel="00000000" w:rsidR="00000000" w:rsidRPr="00000000">
        <w:rPr>
          <w:rFonts w:ascii="Calibri" w:cs="Calibri" w:eastAsia="Calibri" w:hAnsi="Calibri"/>
          <w:rtl w:val="0"/>
        </w:rPr>
        <w:t xml:space="preserve"> corresponde a la evolución de una plataforma GRC previamente orientada a la gestión del cumplimiento de ISO 27001. Durante el proyecto, el equipo amplió el alcance para incorporar requerimientos asociados a la Ley N° 21.719 de protección de datos personales, manteniendo como propósito central facilitar la gestión del cumplimiento, riesgos, evidencias y obligaciones dentro de una misma solución. </w:t>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Fonts w:ascii="Calibri" w:cs="Calibri" w:eastAsia="Calibri" w:hAnsi="Calibri"/>
          <w:rtl w:val="0"/>
        </w:rPr>
        <w:t xml:space="preserve">La fase 2 se concentró en el desarrollo de funcionalidades, la mejora de la experiencia del usuario, la validación de entorno y el despliegue. La solución utiliza React en el Front-End, </w:t>
      </w:r>
      <w:r w:rsidDel="00000000" w:rsidR="00000000" w:rsidRPr="00000000">
        <w:rPr>
          <w:rFonts w:ascii="Calibri" w:cs="Calibri" w:eastAsia="Calibri" w:hAnsi="Calibri"/>
          <w:rtl w:val="0"/>
        </w:rPr>
        <w:t xml:space="preserve">FastAPI</w:t>
      </w:r>
      <w:r w:rsidDel="00000000" w:rsidR="00000000" w:rsidRPr="00000000">
        <w:rPr>
          <w:rFonts w:ascii="Calibri" w:cs="Calibri" w:eastAsia="Calibri" w:hAnsi="Calibri"/>
          <w:rtl w:val="0"/>
        </w:rPr>
        <w:t xml:space="preserve">, Python en el Back-End y PostgreSQL para persistencia. El entorno local se apoya de docker Compose y GitHub se utiliza como mecanismo de versionamiento y trazabilidad. </w:t>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Durante la ejecución se detectó que algunas funciones que inicialmente se asumían disponibles en el código base requerían desarrollo, corrección o validaciones adicionales. Por ello, el equipo redistribuyó actividades, priorizó funcionalidades y revisó el estado real de los módulos antes de presentarlos como completos. Este informe diferencia explícitamente entre funcionalidades confirmadas, en validación y pendientes, con el fin de mantener coherencia entre documentación y el producto real.</w:t>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También, hubo un cambio de identidad. El proyecto pasó de la denominación DANI/</w:t>
      </w:r>
      <w:r w:rsidDel="00000000" w:rsidR="00000000" w:rsidRPr="00000000">
        <w:rPr>
          <w:rFonts w:ascii="Calibri" w:cs="Calibri" w:eastAsia="Calibri" w:hAnsi="Calibri"/>
          <w:rtl w:val="0"/>
        </w:rPr>
        <w:t xml:space="preserve">GRC</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rtl w:val="0"/>
        </w:rPr>
        <w:t xml:space="preserve">NormIA</w:t>
      </w:r>
      <w:r w:rsidDel="00000000" w:rsidR="00000000" w:rsidRPr="00000000">
        <w:rPr>
          <w:rFonts w:ascii="Calibri" w:cs="Calibri" w:eastAsia="Calibri" w:hAnsi="Calibri"/>
          <w:rtl w:val="0"/>
        </w:rPr>
        <w:t xml:space="preserve">. El nombre </w:t>
      </w:r>
      <w:r w:rsidDel="00000000" w:rsidR="00000000" w:rsidRPr="00000000">
        <w:rPr>
          <w:rFonts w:ascii="Calibri" w:cs="Calibri" w:eastAsia="Calibri" w:hAnsi="Calibri"/>
          <w:rtl w:val="0"/>
        </w:rPr>
        <w:t xml:space="preserve">NormIA</w:t>
      </w:r>
      <w:r w:rsidDel="00000000" w:rsidR="00000000" w:rsidRPr="00000000">
        <w:rPr>
          <w:rFonts w:ascii="Calibri" w:cs="Calibri" w:eastAsia="Calibri" w:hAnsi="Calibri"/>
          <w:rtl w:val="0"/>
        </w:rPr>
        <w:t xml:space="preserve"> busca representar la unión entre normativa e inteligencia artificial. </w:t>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1"/>
        <w:numPr>
          <w:ilvl w:val="0"/>
          <w:numId w:val="2"/>
        </w:numPr>
        <w:ind w:left="720" w:hanging="360"/>
        <w:rPr>
          <w:rFonts w:ascii="Calibri" w:cs="Calibri" w:eastAsia="Calibri" w:hAnsi="Calibri"/>
          <w:sz w:val="32"/>
          <w:szCs w:val="32"/>
        </w:rPr>
      </w:pPr>
      <w:bookmarkStart w:colFirst="0" w:colLast="0" w:name="_tdxhycle5slo" w:id="5"/>
      <w:bookmarkEnd w:id="5"/>
      <w:r w:rsidDel="00000000" w:rsidR="00000000" w:rsidRPr="00000000">
        <w:rPr>
          <w:rFonts w:ascii="Calibri" w:cs="Calibri" w:eastAsia="Calibri" w:hAnsi="Calibri"/>
          <w:sz w:val="32"/>
          <w:szCs w:val="32"/>
          <w:rtl w:val="0"/>
        </w:rPr>
        <w:t xml:space="preserve">Contexto y relevancia del proyecto</w:t>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El proyecto surge a partir de una plataforma existente que apoyaba la gestión de seguridad de la información y preparación para ISO 27001. La base ya contempla elementos como riesgos, controles, evidencias y documentación. El desafío del proyecto APT consistió en ampliar esa solución para incorporar necesidades relacionadas con la protección de datos personales y mejorar la experiencia general de uso.</w:t>
      </w:r>
    </w:p>
    <w:p w:rsidR="00000000" w:rsidDel="00000000" w:rsidP="00000000" w:rsidRDefault="00000000" w:rsidRPr="00000000" w14:paraId="0000006C">
      <w:pPr>
        <w:rPr>
          <w:rFonts w:ascii="Calibri" w:cs="Calibri" w:eastAsia="Calibri" w:hAnsi="Calibri"/>
        </w:rPr>
      </w:pPr>
      <w:r w:rsidDel="00000000" w:rsidR="00000000" w:rsidRPr="00000000">
        <w:rPr>
          <w:rFonts w:ascii="Calibri" w:cs="Calibri" w:eastAsia="Calibri" w:hAnsi="Calibri"/>
          <w:rtl w:val="0"/>
        </w:rPr>
        <w:t xml:space="preserve">La relevancia del proyecto se relaciona con la necesidad de que las organizaciones puedan gestionar, de forma ordenada y demostrable, requisitos de seguridad y privacidad. Desde la perspectiva de ingeniería en informática, el proyecto exige comprender una arquitectura existente, analizar requerimientos, modificar interfaces,  integrar servicios, diseñar persistencia y mantener trazabilidad del desarrollo. </w:t>
      </w:r>
    </w:p>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Centralización de información de cumplimiento.</w:t>
      </w:r>
    </w:p>
    <w:p w:rsidR="00000000" w:rsidDel="00000000" w:rsidP="00000000" w:rsidRDefault="00000000" w:rsidRPr="00000000" w14:paraId="0000006F">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Mayor trazabilidad de riesgos, evidencias y obligaciones</w:t>
      </w:r>
    </w:p>
    <w:p w:rsidR="00000000" w:rsidDel="00000000" w:rsidP="00000000" w:rsidRDefault="00000000" w:rsidRPr="00000000" w14:paraId="00000070">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Incorporación de requerimientos de protección de datos personales.</w:t>
      </w:r>
    </w:p>
    <w:p w:rsidR="00000000" w:rsidDel="00000000" w:rsidP="00000000" w:rsidRDefault="00000000" w:rsidRPr="00000000" w14:paraId="00000071">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Uso de una arquitectura web con separación entre Front-End, Back-End y persistencia. </w:t>
      </w:r>
    </w:p>
    <w:p w:rsidR="00000000" w:rsidDel="00000000" w:rsidP="00000000" w:rsidRDefault="00000000" w:rsidRPr="00000000" w14:paraId="00000072">
      <w:pPr>
        <w:numPr>
          <w:ilvl w:val="0"/>
          <w:numId w:val="5"/>
        </w:numPr>
        <w:ind w:left="720" w:hanging="360"/>
        <w:rPr>
          <w:rFonts w:ascii="Calibri" w:cs="Calibri" w:eastAsia="Calibri" w:hAnsi="Calibri"/>
        </w:rPr>
      </w:pPr>
      <w:r w:rsidDel="00000000" w:rsidR="00000000" w:rsidRPr="00000000">
        <w:rPr>
          <w:rFonts w:ascii="Calibri" w:cs="Calibri" w:eastAsia="Calibri" w:hAnsi="Calibri"/>
          <w:rtl w:val="0"/>
        </w:rPr>
        <w:t xml:space="preserve">Aplicación práctica de competencias de programación, base de datos, ingeniería de software, integración y seguridad.</w:t>
      </w:r>
    </w:p>
    <w:p w:rsidR="00000000" w:rsidDel="00000000" w:rsidP="00000000" w:rsidRDefault="00000000" w:rsidRPr="00000000" w14:paraId="00000073">
      <w:pPr>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tl w:val="0"/>
        </w:rPr>
      </w:r>
    </w:p>
    <w:p w:rsidR="00000000" w:rsidDel="00000000" w:rsidP="00000000" w:rsidRDefault="00000000" w:rsidRPr="00000000" w14:paraId="0000007A">
      <w:pPr>
        <w:rPr>
          <w:rFonts w:ascii="Calibri" w:cs="Calibri" w:eastAsia="Calibri" w:hAnsi="Calibri"/>
        </w:rPr>
      </w:pP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tl w:val="0"/>
        </w:rPr>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tl w:val="0"/>
        </w:rPr>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tl w:val="0"/>
        </w:rPr>
      </w:r>
    </w:p>
    <w:p w:rsidR="00000000" w:rsidDel="00000000" w:rsidP="00000000" w:rsidRDefault="00000000" w:rsidRPr="00000000" w14:paraId="00000081">
      <w:pPr>
        <w:rPr>
          <w:rFonts w:ascii="Calibri" w:cs="Calibri" w:eastAsia="Calibri" w:hAnsi="Calibri"/>
        </w:rPr>
      </w:pP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tl w:val="0"/>
        </w:rPr>
      </w:r>
    </w:p>
    <w:p w:rsidR="00000000" w:rsidDel="00000000" w:rsidP="00000000" w:rsidRDefault="00000000" w:rsidRPr="00000000" w14:paraId="00000083">
      <w:pPr>
        <w:rPr>
          <w:rFonts w:ascii="Calibri" w:cs="Calibri" w:eastAsia="Calibri" w:hAnsi="Calibri"/>
        </w:rPr>
      </w:pP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tl w:val="0"/>
        </w:rPr>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1"/>
        <w:numPr>
          <w:ilvl w:val="0"/>
          <w:numId w:val="2"/>
        </w:numPr>
        <w:ind w:left="720" w:hanging="360"/>
        <w:rPr>
          <w:rFonts w:ascii="Calibri" w:cs="Calibri" w:eastAsia="Calibri" w:hAnsi="Calibri"/>
          <w:sz w:val="32"/>
          <w:szCs w:val="32"/>
        </w:rPr>
      </w:pPr>
      <w:bookmarkStart w:colFirst="0" w:colLast="0" w:name="_ll5u6b8dfeay" w:id="6"/>
      <w:bookmarkEnd w:id="6"/>
      <w:r w:rsidDel="00000000" w:rsidR="00000000" w:rsidRPr="00000000">
        <w:rPr>
          <w:rFonts w:ascii="Calibri" w:cs="Calibri" w:eastAsia="Calibri" w:hAnsi="Calibri"/>
          <w:sz w:val="32"/>
          <w:szCs w:val="32"/>
          <w:rtl w:val="0"/>
        </w:rPr>
        <w:t xml:space="preserve">Objetivos y estado de avance </w:t>
      </w:r>
    </w:p>
    <w:p w:rsidR="00000000" w:rsidDel="00000000" w:rsidP="00000000" w:rsidRDefault="00000000" w:rsidRPr="00000000" w14:paraId="00000087">
      <w:pPr>
        <w:pStyle w:val="Heading2"/>
        <w:rPr>
          <w:rFonts w:ascii="Calibri" w:cs="Calibri" w:eastAsia="Calibri" w:hAnsi="Calibri"/>
          <w:sz w:val="28"/>
          <w:szCs w:val="28"/>
        </w:rPr>
      </w:pPr>
      <w:bookmarkStart w:colFirst="0" w:colLast="0" w:name="_rffzfgoqspk" w:id="7"/>
      <w:bookmarkEnd w:id="7"/>
      <w:r w:rsidDel="00000000" w:rsidR="00000000" w:rsidRPr="00000000">
        <w:rPr>
          <w:rFonts w:ascii="Calibri" w:cs="Calibri" w:eastAsia="Calibri" w:hAnsi="Calibri"/>
          <w:sz w:val="28"/>
          <w:szCs w:val="28"/>
          <w:rtl w:val="0"/>
        </w:rPr>
        <w:t xml:space="preserve">3.1 Objetivo general</w:t>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Integrar los requerimientos de la Ley N° 21.719 de protección de datos personales en la plataforma GRC existente (DANI), ampliando sus funcionalidades de gestión del cumplimiento de la seguridad de la información. </w:t>
      </w:r>
      <w:r w:rsidDel="00000000" w:rsidR="00000000" w:rsidRPr="00000000">
        <w:rPr>
          <w:rtl w:val="0"/>
        </w:rPr>
      </w:r>
    </w:p>
    <w:p w:rsidR="00000000" w:rsidDel="00000000" w:rsidP="00000000" w:rsidRDefault="00000000" w:rsidRPr="00000000" w14:paraId="00000089">
      <w:pPr>
        <w:pStyle w:val="Heading2"/>
        <w:rPr/>
      </w:pPr>
      <w:bookmarkStart w:colFirst="0" w:colLast="0" w:name="_8ve205ketd3n" w:id="8"/>
      <w:bookmarkEnd w:id="8"/>
      <w:r w:rsidDel="00000000" w:rsidR="00000000" w:rsidRPr="00000000">
        <w:rPr>
          <w:rFonts w:ascii="Calibri" w:cs="Calibri" w:eastAsia="Calibri" w:hAnsi="Calibri"/>
          <w:sz w:val="28"/>
          <w:szCs w:val="28"/>
          <w:rtl w:val="0"/>
        </w:rPr>
        <w:t xml:space="preserve">3.2 Objetivos específicos </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35"/>
        <w:gridCol w:w="2865"/>
        <w:tblGridChange w:id="0">
          <w:tblGrid>
            <w:gridCol w:w="6135"/>
            <w:gridCol w:w="286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 específico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Levantar y analizar requerimientos de la Ley N° 21.719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Avanzado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Analizar arquitectura de módulos existentes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Diseñar modificaciones de datos, interfaces y flujos.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Realizado (Con ajustes)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Desarrollar módulos asociados a datos personales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Desarrollado por módulos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(Requiere evaluación final)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Adaptar las funciones de IA para el análisis de cumplimiento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Implementado (en validación)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Realizar pruebas de validación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 curso (QA final pendiente)</w:t>
            </w:r>
          </w:p>
        </w:tc>
      </w:tr>
    </w:tbl>
    <w:p w:rsidR="00000000" w:rsidDel="00000000" w:rsidP="00000000" w:rsidRDefault="00000000" w:rsidRPr="00000000" w14:paraId="00000099">
      <w:pPr>
        <w:pStyle w:val="Heading1"/>
        <w:ind w:left="720" w:firstLine="0"/>
        <w:rPr>
          <w:rFonts w:ascii="Calibri" w:cs="Calibri" w:eastAsia="Calibri" w:hAnsi="Calibri"/>
          <w:sz w:val="32"/>
          <w:szCs w:val="32"/>
        </w:rPr>
      </w:pPr>
      <w:bookmarkStart w:colFirst="0" w:colLast="0" w:name="_3j0jhokdybk4" w:id="9"/>
      <w:bookmarkEnd w:id="9"/>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1"/>
        <w:numPr>
          <w:ilvl w:val="0"/>
          <w:numId w:val="2"/>
        </w:numPr>
        <w:ind w:left="720" w:hanging="360"/>
        <w:rPr>
          <w:rFonts w:ascii="Calibri" w:cs="Calibri" w:eastAsia="Calibri" w:hAnsi="Calibri"/>
          <w:sz w:val="32"/>
          <w:szCs w:val="32"/>
        </w:rPr>
      </w:pPr>
      <w:bookmarkStart w:colFirst="0" w:colLast="0" w:name="_f70rmq9x0pks" w:id="10"/>
      <w:bookmarkEnd w:id="10"/>
      <w:r w:rsidDel="00000000" w:rsidR="00000000" w:rsidRPr="00000000">
        <w:rPr>
          <w:rFonts w:ascii="Calibri" w:cs="Calibri" w:eastAsia="Calibri" w:hAnsi="Calibri"/>
          <w:sz w:val="32"/>
          <w:szCs w:val="32"/>
          <w:rtl w:val="0"/>
        </w:rPr>
        <w:t xml:space="preserve">Alcance inicial v/s alcance real</w:t>
      </w:r>
    </w:p>
    <w:p w:rsidR="00000000" w:rsidDel="00000000" w:rsidP="00000000" w:rsidRDefault="00000000" w:rsidRPr="00000000" w14:paraId="000000A9">
      <w:pPr>
        <w:rPr>
          <w:rFonts w:ascii="Calibri" w:cs="Calibri" w:eastAsia="Calibri" w:hAnsi="Calibri"/>
        </w:rPr>
      </w:pPr>
      <w:r w:rsidDel="00000000" w:rsidR="00000000" w:rsidRPr="00000000">
        <w:rPr>
          <w:rFonts w:ascii="Calibri" w:cs="Calibri" w:eastAsia="Calibri" w:hAnsi="Calibri"/>
          <w:rtl w:val="0"/>
        </w:rPr>
        <w:t xml:space="preserve">La comparación entre la planificación inicial y la ejecución permite mostrar los cambios de alcance de forma transparente. Esta sección evita presentar como  finalizadas actividades que fueron planificadas pero no utilizadas o todavía se encuentran en validación. </w:t>
      </w:r>
    </w:p>
    <w:p w:rsidR="00000000" w:rsidDel="00000000" w:rsidP="00000000" w:rsidRDefault="00000000" w:rsidRPr="00000000" w14:paraId="000000AA">
      <w:pPr>
        <w:rPr>
          <w:rFonts w:ascii="Calibri" w:cs="Calibri" w:eastAsia="Calibri" w:hAnsi="Calibri"/>
        </w:rPr>
      </w:pPr>
      <w:r w:rsidDel="00000000" w:rsidR="00000000" w:rsidRPr="00000000">
        <w:rPr>
          <w:rtl w:val="0"/>
        </w:rPr>
      </w:r>
    </w:p>
    <w:p w:rsidR="00000000" w:rsidDel="00000000" w:rsidP="00000000" w:rsidRDefault="00000000" w:rsidRPr="00000000" w14:paraId="000000AB">
      <w:pPr>
        <w:rPr>
          <w:rFonts w:ascii="Calibri" w:cs="Calibri" w:eastAsia="Calibri" w:hAnsi="Calibri"/>
        </w:rPr>
      </w:pPr>
      <w:r w:rsidDel="00000000" w:rsidR="00000000" w:rsidRPr="00000000">
        <w:rPr>
          <w:rtl w:val="0"/>
        </w:rPr>
      </w:r>
    </w:p>
    <w:tbl>
      <w:tblPr>
        <w:tblStyle w:val="Table3"/>
        <w:tblpPr w:leftFromText="180" w:rightFromText="180" w:topFromText="180" w:bottomFromText="180" w:vertAnchor="text" w:horzAnchor="text" w:tblpX="15" w:tblpY="0.146484375"/>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3030"/>
        <w:gridCol w:w="2595"/>
        <w:gridCol w:w="1305"/>
        <w:tblGridChange w:id="0">
          <w:tblGrid>
            <w:gridCol w:w="2010"/>
            <w:gridCol w:w="3030"/>
            <w:gridCol w:w="2595"/>
            <w:gridCol w:w="1305"/>
          </w:tblGrid>
        </w:tblGridChange>
      </w:tblGrid>
      <w:tr>
        <w:trPr>
          <w:cantSplit w:val="0"/>
          <w:tblHeader w:val="0"/>
        </w:trPr>
        <w:tc>
          <w:tcPr>
            <w:shd w:fill="c9daf8" w:val="clear"/>
          </w:tcPr>
          <w:p w:rsidR="00000000" w:rsidDel="00000000" w:rsidP="00000000" w:rsidRDefault="00000000" w:rsidRPr="00000000" w14:paraId="000000A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Planificación</w:t>
            </w:r>
          </w:p>
        </w:tc>
        <w:tc>
          <w:tcPr>
            <w:shd w:fill="c9daf8" w:val="clear"/>
          </w:tcPr>
          <w:p w:rsidR="00000000" w:rsidDel="00000000" w:rsidP="00000000" w:rsidRDefault="00000000" w:rsidRPr="00000000" w14:paraId="000000A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Qué ocurrió</w:t>
            </w:r>
          </w:p>
        </w:tc>
        <w:tc>
          <w:tcPr>
            <w:shd w:fill="c9daf8" w:val="clear"/>
          </w:tcPr>
          <w:p w:rsidR="00000000" w:rsidDel="00000000" w:rsidP="00000000" w:rsidRDefault="00000000" w:rsidRPr="00000000" w14:paraId="000000A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Cómo ha quedado documentado</w:t>
            </w:r>
          </w:p>
        </w:tc>
        <w:tc>
          <w:tcPr>
            <w:shd w:fill="c9daf8" w:val="clear"/>
          </w:tcPr>
          <w:p w:rsidR="00000000" w:rsidDel="00000000" w:rsidP="00000000" w:rsidRDefault="00000000" w:rsidRPr="00000000" w14:paraId="000000A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 Estado</w:t>
            </w:r>
          </w:p>
        </w:tc>
      </w:tr>
      <w:tr>
        <w:trPr>
          <w:cantSplit w:val="0"/>
          <w:tblHeader w:val="0"/>
        </w:trPr>
        <w:tc>
          <w:tcPr/>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Nombre/ identidad DANI</w:t>
            </w:r>
          </w:p>
        </w:tc>
        <w:tc>
          <w:tcPr/>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 renovó la identidad del producto </w:t>
            </w:r>
          </w:p>
        </w:tc>
        <w:tc>
          <w:tcPr/>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NormIA</w:t>
            </w:r>
          </w:p>
        </w:tc>
        <w:tc>
          <w:tcPr/>
          <w:p w:rsidR="00000000" w:rsidDel="00000000" w:rsidP="00000000" w:rsidRDefault="00000000" w:rsidRPr="00000000" w14:paraId="000000B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blHeader w:val="0"/>
        </w:trPr>
        <w:tc>
          <w:tcPr/>
          <w:p w:rsidR="00000000" w:rsidDel="00000000" w:rsidP="00000000" w:rsidRDefault="00000000" w:rsidRPr="00000000" w14:paraId="000000B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Trello / Jira para seguimiento</w:t>
            </w:r>
          </w:p>
        </w:tc>
        <w:tc>
          <w:tcPr/>
          <w:p w:rsidR="00000000" w:rsidDel="00000000" w:rsidP="00000000" w:rsidRDefault="00000000" w:rsidRPr="00000000" w14:paraId="000000B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 se utilizó como herramienta formal</w:t>
            </w:r>
          </w:p>
        </w:tc>
        <w:tc>
          <w:tcPr/>
          <w:p w:rsidR="00000000" w:rsidDel="00000000" w:rsidP="00000000" w:rsidRDefault="00000000" w:rsidRPr="00000000" w14:paraId="000000B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Organización interna y seguimiento por las tareas/Git </w:t>
            </w:r>
          </w:p>
        </w:tc>
        <w:tc>
          <w:tcPr/>
          <w:p w:rsidR="00000000" w:rsidDel="00000000" w:rsidP="00000000" w:rsidRDefault="00000000" w:rsidRPr="00000000" w14:paraId="000000B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blHeader w:val="0"/>
        </w:trPr>
        <w:tc>
          <w:tcPr/>
          <w:p w:rsidR="00000000" w:rsidDel="00000000" w:rsidP="00000000" w:rsidRDefault="00000000" w:rsidRPr="00000000" w14:paraId="000000B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Front-End React</w:t>
            </w:r>
          </w:p>
        </w:tc>
        <w:tc>
          <w:tcPr/>
          <w:p w:rsidR="00000000" w:rsidDel="00000000" w:rsidP="00000000" w:rsidRDefault="00000000" w:rsidRPr="00000000" w14:paraId="000000B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 mantuvo y amplió con nueva landing page e interfaz</w:t>
            </w:r>
          </w:p>
        </w:tc>
        <w:tc>
          <w:tcPr/>
          <w:p w:rsidR="00000000" w:rsidDel="00000000" w:rsidP="00000000" w:rsidRDefault="00000000" w:rsidRPr="00000000" w14:paraId="000000B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React/ UI NormIA</w:t>
            </w:r>
          </w:p>
        </w:tc>
        <w:tc>
          <w:tcPr/>
          <w:p w:rsidR="00000000" w:rsidDel="00000000" w:rsidP="00000000" w:rsidRDefault="00000000" w:rsidRPr="00000000" w14:paraId="000000B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blHeader w:val="0"/>
        </w:trPr>
        <w:tc>
          <w:tcPr/>
          <w:p w:rsidR="00000000" w:rsidDel="00000000" w:rsidP="00000000" w:rsidRDefault="00000000" w:rsidRPr="00000000" w14:paraId="000000B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Back-End FastAPI</w:t>
            </w:r>
          </w:p>
        </w:tc>
        <w:tc>
          <w:tcPr/>
          <w:p w:rsidR="00000000" w:rsidDel="00000000" w:rsidP="00000000" w:rsidRDefault="00000000" w:rsidRPr="00000000" w14:paraId="000000B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 mantuvo como API del sistema</w:t>
            </w:r>
          </w:p>
        </w:tc>
        <w:tc>
          <w:tcPr/>
          <w:p w:rsidR="00000000" w:rsidDel="00000000" w:rsidP="00000000" w:rsidRDefault="00000000" w:rsidRPr="00000000" w14:paraId="000000B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FastAPI / Python</w:t>
            </w:r>
          </w:p>
        </w:tc>
        <w:tc>
          <w:tcPr/>
          <w:p w:rsidR="00000000" w:rsidDel="00000000" w:rsidP="00000000" w:rsidRDefault="00000000" w:rsidRPr="00000000" w14:paraId="000000B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blHeader w:val="0"/>
        </w:trPr>
        <w:tc>
          <w:tcPr/>
          <w:p w:rsidR="00000000" w:rsidDel="00000000" w:rsidP="00000000" w:rsidRDefault="00000000" w:rsidRPr="00000000" w14:paraId="000000C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Despliegue</w:t>
            </w:r>
          </w:p>
        </w:tc>
        <w:tc>
          <w:tcPr/>
          <w:p w:rsidR="00000000" w:rsidDel="00000000" w:rsidP="00000000" w:rsidRDefault="00000000" w:rsidRPr="00000000" w14:paraId="000000C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producto fue desplegado</w:t>
            </w:r>
          </w:p>
        </w:tc>
        <w:tc>
          <w:tcPr/>
          <w:p w:rsidR="00000000" w:rsidDel="00000000" w:rsidP="00000000" w:rsidRDefault="00000000" w:rsidRPr="00000000" w14:paraId="000000C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Vercel (Front-End) + Render (Back-End)</w:t>
            </w:r>
          </w:p>
        </w:tc>
        <w:tc>
          <w:tcPr/>
          <w:p w:rsidR="00000000" w:rsidDel="00000000" w:rsidP="00000000" w:rsidRDefault="00000000" w:rsidRPr="00000000" w14:paraId="000000C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blHeader w:val="0"/>
        </w:trPr>
        <w:tc>
          <w:tcPr/>
          <w:p w:rsidR="00000000" w:rsidDel="00000000" w:rsidP="00000000" w:rsidRDefault="00000000" w:rsidRPr="00000000" w14:paraId="000000C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Multi-tenant y superadministración </w:t>
            </w:r>
          </w:p>
        </w:tc>
        <w:tc>
          <w:tcPr/>
          <w:p w:rsidR="00000000" w:rsidDel="00000000" w:rsidP="00000000" w:rsidRDefault="00000000" w:rsidRPr="00000000" w14:paraId="000000C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 mantuvo/implementó separación por organización y gestión administrativa</w:t>
            </w:r>
          </w:p>
        </w:tc>
        <w:tc>
          <w:tcPr/>
          <w:p w:rsidR="00000000" w:rsidDel="00000000" w:rsidP="00000000" w:rsidRDefault="00000000" w:rsidRPr="00000000" w14:paraId="000000C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Funcionalidad presente</w:t>
            </w:r>
          </w:p>
        </w:tc>
        <w:tc>
          <w:tcPr/>
          <w:p w:rsidR="00000000" w:rsidDel="00000000" w:rsidP="00000000" w:rsidRDefault="00000000" w:rsidRPr="00000000" w14:paraId="000000C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blHeader w:val="0"/>
        </w:trPr>
        <w:tc>
          <w:tcPr/>
          <w:p w:rsidR="00000000" w:rsidDel="00000000" w:rsidP="00000000" w:rsidRDefault="00000000" w:rsidRPr="00000000" w14:paraId="000000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QA final</w:t>
            </w:r>
          </w:p>
        </w:tc>
        <w:tc>
          <w:tcPr/>
          <w:p w:rsidR="00000000" w:rsidDel="00000000" w:rsidP="00000000" w:rsidRDefault="00000000" w:rsidRPr="00000000" w14:paraId="000000C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 está consolidado todavía</w:t>
            </w:r>
          </w:p>
        </w:tc>
        <w:tc>
          <w:tcPr/>
          <w:p w:rsidR="00000000" w:rsidDel="00000000" w:rsidP="00000000" w:rsidRDefault="00000000" w:rsidRPr="00000000" w14:paraId="000000C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Pruebas funcionales en curso</w:t>
            </w:r>
          </w:p>
        </w:tc>
        <w:tc>
          <w:tcPr/>
          <w:p w:rsidR="00000000" w:rsidDel="00000000" w:rsidP="00000000" w:rsidRDefault="00000000" w:rsidRPr="00000000" w14:paraId="000000C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Pendiente</w:t>
            </w:r>
          </w:p>
        </w:tc>
      </w:tr>
    </w:tbl>
    <w:p w:rsidR="00000000" w:rsidDel="00000000" w:rsidP="00000000" w:rsidRDefault="00000000" w:rsidRPr="00000000" w14:paraId="000000CC">
      <w:pPr>
        <w:rPr>
          <w:rFonts w:ascii="Calibri" w:cs="Calibri" w:eastAsia="Calibri" w:hAnsi="Calibri"/>
        </w:rPr>
      </w:pPr>
      <w:r w:rsidDel="00000000" w:rsidR="00000000" w:rsidRPr="00000000">
        <w:rPr>
          <w:rtl w:val="0"/>
        </w:rPr>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rPr>
          <w:rFonts w:ascii="Calibri" w:cs="Calibri" w:eastAsia="Calibri" w:hAnsi="Calibri"/>
        </w:rPr>
      </w:pPr>
      <w:r w:rsidDel="00000000" w:rsidR="00000000" w:rsidRPr="00000000">
        <w:rPr>
          <w:rtl w:val="0"/>
        </w:rPr>
      </w:r>
    </w:p>
    <w:p w:rsidR="00000000" w:rsidDel="00000000" w:rsidP="00000000" w:rsidRDefault="00000000" w:rsidRPr="00000000" w14:paraId="000000CF">
      <w:pPr>
        <w:rPr>
          <w:rFonts w:ascii="Calibri" w:cs="Calibri" w:eastAsia="Calibri" w:hAnsi="Calibri"/>
        </w:rPr>
      </w:pPr>
      <w:r w:rsidDel="00000000" w:rsidR="00000000" w:rsidRPr="00000000">
        <w:rPr>
          <w:rtl w:val="0"/>
        </w:rPr>
      </w:r>
    </w:p>
    <w:p w:rsidR="00000000" w:rsidDel="00000000" w:rsidP="00000000" w:rsidRDefault="00000000" w:rsidRPr="00000000" w14:paraId="000000D0">
      <w:pPr>
        <w:rPr>
          <w:rFonts w:ascii="Calibri" w:cs="Calibri" w:eastAsia="Calibri" w:hAnsi="Calibri"/>
        </w:rPr>
      </w:pPr>
      <w:r w:rsidDel="00000000" w:rsidR="00000000" w:rsidRPr="00000000">
        <w:rPr>
          <w:rtl w:val="0"/>
        </w:rPr>
      </w:r>
    </w:p>
    <w:p w:rsidR="00000000" w:rsidDel="00000000" w:rsidP="00000000" w:rsidRDefault="00000000" w:rsidRPr="00000000" w14:paraId="000000D1">
      <w:pPr>
        <w:rPr>
          <w:rFonts w:ascii="Calibri" w:cs="Calibri" w:eastAsia="Calibri" w:hAnsi="Calibri"/>
        </w:rPr>
      </w:pPr>
      <w:r w:rsidDel="00000000" w:rsidR="00000000" w:rsidRPr="00000000">
        <w:rPr>
          <w:rtl w:val="0"/>
        </w:rPr>
      </w:r>
    </w:p>
    <w:p w:rsidR="00000000" w:rsidDel="00000000" w:rsidP="00000000" w:rsidRDefault="00000000" w:rsidRPr="00000000" w14:paraId="000000D2">
      <w:pPr>
        <w:rPr>
          <w:rFonts w:ascii="Calibri" w:cs="Calibri" w:eastAsia="Calibri" w:hAnsi="Calibri"/>
        </w:rPr>
      </w:pPr>
      <w:r w:rsidDel="00000000" w:rsidR="00000000" w:rsidRPr="00000000">
        <w:rPr>
          <w:rtl w:val="0"/>
        </w:rPr>
      </w:r>
    </w:p>
    <w:p w:rsidR="00000000" w:rsidDel="00000000" w:rsidP="00000000" w:rsidRDefault="00000000" w:rsidRPr="00000000" w14:paraId="000000D3">
      <w:pPr>
        <w:rPr>
          <w:rFonts w:ascii="Calibri" w:cs="Calibri" w:eastAsia="Calibri" w:hAnsi="Calibri"/>
        </w:rPr>
      </w:pPr>
      <w:r w:rsidDel="00000000" w:rsidR="00000000" w:rsidRPr="00000000">
        <w:rPr>
          <w:rtl w:val="0"/>
        </w:rPr>
      </w:r>
    </w:p>
    <w:p w:rsidR="00000000" w:rsidDel="00000000" w:rsidP="00000000" w:rsidRDefault="00000000" w:rsidRPr="00000000" w14:paraId="000000D4">
      <w:pPr>
        <w:rPr>
          <w:rFonts w:ascii="Calibri" w:cs="Calibri" w:eastAsia="Calibri" w:hAnsi="Calibri"/>
        </w:rPr>
      </w:pPr>
      <w:r w:rsidDel="00000000" w:rsidR="00000000" w:rsidRPr="00000000">
        <w:rPr>
          <w:rtl w:val="0"/>
        </w:rPr>
      </w:r>
    </w:p>
    <w:p w:rsidR="00000000" w:rsidDel="00000000" w:rsidP="00000000" w:rsidRDefault="00000000" w:rsidRPr="00000000" w14:paraId="000000D5">
      <w:pPr>
        <w:rPr>
          <w:rFonts w:ascii="Calibri" w:cs="Calibri" w:eastAsia="Calibri" w:hAnsi="Calibri"/>
        </w:rPr>
      </w:pPr>
      <w:r w:rsidDel="00000000" w:rsidR="00000000" w:rsidRPr="00000000">
        <w:rPr>
          <w:rtl w:val="0"/>
        </w:rPr>
      </w:r>
    </w:p>
    <w:p w:rsidR="00000000" w:rsidDel="00000000" w:rsidP="00000000" w:rsidRDefault="00000000" w:rsidRPr="00000000" w14:paraId="000000D6">
      <w:pPr>
        <w:rPr>
          <w:rFonts w:ascii="Calibri" w:cs="Calibri" w:eastAsia="Calibri" w:hAnsi="Calibri"/>
        </w:rPr>
      </w:pPr>
      <w:r w:rsidDel="00000000" w:rsidR="00000000" w:rsidRPr="00000000">
        <w:rPr>
          <w:rtl w:val="0"/>
        </w:rPr>
      </w:r>
    </w:p>
    <w:p w:rsidR="00000000" w:rsidDel="00000000" w:rsidP="00000000" w:rsidRDefault="00000000" w:rsidRPr="00000000" w14:paraId="000000D7">
      <w:pPr>
        <w:rPr>
          <w:rFonts w:ascii="Calibri" w:cs="Calibri" w:eastAsia="Calibri" w:hAnsi="Calibri"/>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rPr>
          <w:rtl w:val="0"/>
        </w:rPr>
      </w:r>
    </w:p>
    <w:p w:rsidR="00000000" w:rsidDel="00000000" w:rsidP="00000000" w:rsidRDefault="00000000" w:rsidRPr="00000000" w14:paraId="000000D9">
      <w:pPr>
        <w:pStyle w:val="Heading1"/>
        <w:numPr>
          <w:ilvl w:val="0"/>
          <w:numId w:val="2"/>
        </w:numPr>
        <w:ind w:left="720" w:hanging="360"/>
        <w:rPr>
          <w:rFonts w:ascii="Calibri" w:cs="Calibri" w:eastAsia="Calibri" w:hAnsi="Calibri"/>
          <w:sz w:val="32"/>
          <w:szCs w:val="32"/>
        </w:rPr>
      </w:pPr>
      <w:bookmarkStart w:colFirst="0" w:colLast="0" w:name="_pngajiwo61nh" w:id="11"/>
      <w:bookmarkEnd w:id="11"/>
      <w:r w:rsidDel="00000000" w:rsidR="00000000" w:rsidRPr="00000000">
        <w:rPr>
          <w:rFonts w:ascii="Calibri" w:cs="Calibri" w:eastAsia="Calibri" w:hAnsi="Calibri"/>
          <w:sz w:val="32"/>
          <w:szCs w:val="32"/>
          <w:rtl w:val="0"/>
        </w:rPr>
        <w:t xml:space="preserve">Metodología</w:t>
      </w:r>
    </w:p>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rtl w:val="0"/>
        </w:rPr>
        <w:t xml:space="preserve">El trabajo se organizó mediante una metodología ágil basada en Scrum, utilizando el concepto de Sprint y desarrollo incremental. Dado que no se utilizó Trello ni Jira como tablero formal, en este informe se utiliza la expresión “basada en Scrum” para describir de forma precisa la metodología aplicada.</w:t>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Planificar: definir tareas y prioridades según el avance del proyecto.</w:t>
      </w:r>
    </w:p>
    <w:p w:rsidR="00000000" w:rsidDel="00000000" w:rsidP="00000000" w:rsidRDefault="00000000" w:rsidRPr="00000000" w14:paraId="000000DD">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Implementar: desarrollar por módulos y responsabilidades.</w:t>
      </w:r>
    </w:p>
    <w:p w:rsidR="00000000" w:rsidDel="00000000" w:rsidP="00000000" w:rsidRDefault="00000000" w:rsidRPr="00000000" w14:paraId="000000DE">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Probar: ejecutar Front-End, Back-End y servicios del entorno.</w:t>
      </w:r>
    </w:p>
    <w:p w:rsidR="00000000" w:rsidDel="00000000" w:rsidP="00000000" w:rsidRDefault="00000000" w:rsidRPr="00000000" w14:paraId="000000DF">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Ajustar: corregir errores, mejorar experiencia y distribuir actividades cuando fue necesario.</w:t>
      </w:r>
    </w:p>
    <w:p w:rsidR="00000000" w:rsidDel="00000000" w:rsidP="00000000" w:rsidRDefault="00000000" w:rsidRPr="00000000" w14:paraId="000000E0">
      <w:pPr>
        <w:numPr>
          <w:ilvl w:val="0"/>
          <w:numId w:val="4"/>
        </w:numPr>
        <w:ind w:left="720" w:hanging="360"/>
        <w:rPr>
          <w:rFonts w:ascii="Calibri" w:cs="Calibri" w:eastAsia="Calibri" w:hAnsi="Calibri"/>
        </w:rPr>
      </w:pPr>
      <w:r w:rsidDel="00000000" w:rsidR="00000000" w:rsidRPr="00000000">
        <w:rPr>
          <w:rFonts w:ascii="Calibri" w:cs="Calibri" w:eastAsia="Calibri" w:hAnsi="Calibri"/>
          <w:rtl w:val="0"/>
        </w:rPr>
        <w:t xml:space="preserve">Documentar: registrar cambios, evidencias y commits en Git/GitHub (ver Anexo A). </w:t>
      </w:r>
    </w:p>
    <w:p w:rsidR="00000000" w:rsidDel="00000000" w:rsidP="00000000" w:rsidRDefault="00000000" w:rsidRPr="00000000" w14:paraId="000000E1">
      <w:pPr>
        <w:rPr>
          <w:rFonts w:ascii="Calibri" w:cs="Calibri" w:eastAsia="Calibri" w:hAnsi="Calibri"/>
        </w:rPr>
      </w:pPr>
      <w:r w:rsidDel="00000000" w:rsidR="00000000" w:rsidRPr="00000000">
        <w:rPr>
          <w:rtl w:val="0"/>
        </w:rPr>
      </w:r>
    </w:p>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rtl w:val="0"/>
        </w:rPr>
        <w:t xml:space="preserve">La planificación inicial contempló cuatro bloques funcionales principales: registro de actividades de tratamiento (RoPA), Consentimientos, Derechos de los titulares (ARCO+P) y brechas de datos. A medida que se avanzó se incorporaron ajustes de interfaz, identidad NormIA e integración. </w:t>
      </w:r>
    </w:p>
    <w:p w:rsidR="00000000" w:rsidDel="00000000" w:rsidP="00000000" w:rsidRDefault="00000000" w:rsidRPr="00000000" w14:paraId="000000E3">
      <w:pPr>
        <w:rPr>
          <w:rFonts w:ascii="Calibri" w:cs="Calibri" w:eastAsia="Calibri" w:hAnsi="Calibri"/>
        </w:rPr>
      </w:pPr>
      <w:r w:rsidDel="00000000" w:rsidR="00000000" w:rsidRPr="00000000">
        <w:rPr>
          <w:rtl w:val="0"/>
        </w:rPr>
      </w:r>
    </w:p>
    <w:p w:rsidR="00000000" w:rsidDel="00000000" w:rsidP="00000000" w:rsidRDefault="00000000" w:rsidRPr="00000000" w14:paraId="000000E4">
      <w:pPr>
        <w:rPr>
          <w:rFonts w:ascii="Calibri" w:cs="Calibri" w:eastAsia="Calibri" w:hAnsi="Calibri"/>
        </w:rPr>
      </w:pPr>
      <w:r w:rsidDel="00000000" w:rsidR="00000000" w:rsidRPr="00000000">
        <w:rPr>
          <w:rtl w:val="0"/>
        </w:rPr>
      </w:r>
    </w:p>
    <w:p w:rsidR="00000000" w:rsidDel="00000000" w:rsidP="00000000" w:rsidRDefault="00000000" w:rsidRPr="00000000" w14:paraId="000000E5">
      <w:pPr>
        <w:rPr>
          <w:rFonts w:ascii="Calibri" w:cs="Calibri" w:eastAsia="Calibri" w:hAnsi="Calibri"/>
        </w:rPr>
      </w:pPr>
      <w:r w:rsidDel="00000000" w:rsidR="00000000" w:rsidRPr="00000000">
        <w:rPr>
          <w:rtl w:val="0"/>
        </w:rPr>
      </w:r>
    </w:p>
    <w:p w:rsidR="00000000" w:rsidDel="00000000" w:rsidP="00000000" w:rsidRDefault="00000000" w:rsidRPr="00000000" w14:paraId="000000E6">
      <w:pPr>
        <w:rPr>
          <w:rFonts w:ascii="Calibri" w:cs="Calibri" w:eastAsia="Calibri" w:hAnsi="Calibri"/>
        </w:rPr>
      </w:pPr>
      <w:r w:rsidDel="00000000" w:rsidR="00000000" w:rsidRPr="00000000">
        <w:rPr>
          <w:rtl w:val="0"/>
        </w:rPr>
      </w:r>
    </w:p>
    <w:p w:rsidR="00000000" w:rsidDel="00000000" w:rsidP="00000000" w:rsidRDefault="00000000" w:rsidRPr="00000000" w14:paraId="000000E7">
      <w:pPr>
        <w:rPr>
          <w:rFonts w:ascii="Calibri" w:cs="Calibri" w:eastAsia="Calibri" w:hAnsi="Calibri"/>
        </w:rPr>
      </w:pPr>
      <w:r w:rsidDel="00000000" w:rsidR="00000000" w:rsidRPr="00000000">
        <w:rPr>
          <w:rtl w:val="0"/>
        </w:rPr>
      </w:r>
    </w:p>
    <w:p w:rsidR="00000000" w:rsidDel="00000000" w:rsidP="00000000" w:rsidRDefault="00000000" w:rsidRPr="00000000" w14:paraId="000000E8">
      <w:pPr>
        <w:rPr>
          <w:rFonts w:ascii="Calibri" w:cs="Calibri" w:eastAsia="Calibri" w:hAnsi="Calibri"/>
        </w:rPr>
      </w:pPr>
      <w:r w:rsidDel="00000000" w:rsidR="00000000" w:rsidRPr="00000000">
        <w:rPr>
          <w:rtl w:val="0"/>
        </w:rPr>
      </w:r>
    </w:p>
    <w:p w:rsidR="00000000" w:rsidDel="00000000" w:rsidP="00000000" w:rsidRDefault="00000000" w:rsidRPr="00000000" w14:paraId="000000E9">
      <w:pPr>
        <w:rPr>
          <w:rFonts w:ascii="Calibri" w:cs="Calibri" w:eastAsia="Calibri" w:hAnsi="Calibri"/>
        </w:rPr>
      </w:pPr>
      <w:r w:rsidDel="00000000" w:rsidR="00000000" w:rsidRPr="00000000">
        <w:rPr>
          <w:rtl w:val="0"/>
        </w:rPr>
      </w:r>
    </w:p>
    <w:p w:rsidR="00000000" w:rsidDel="00000000" w:rsidP="00000000" w:rsidRDefault="00000000" w:rsidRPr="00000000" w14:paraId="000000EA">
      <w:pPr>
        <w:rPr>
          <w:rFonts w:ascii="Calibri" w:cs="Calibri" w:eastAsia="Calibri" w:hAnsi="Calibri"/>
        </w:rPr>
      </w:pPr>
      <w:r w:rsidDel="00000000" w:rsidR="00000000" w:rsidRPr="00000000">
        <w:rPr>
          <w:rtl w:val="0"/>
        </w:rPr>
      </w:r>
    </w:p>
    <w:p w:rsidR="00000000" w:rsidDel="00000000" w:rsidP="00000000" w:rsidRDefault="00000000" w:rsidRPr="00000000" w14:paraId="000000EB">
      <w:pPr>
        <w:rPr>
          <w:rFonts w:ascii="Calibri" w:cs="Calibri" w:eastAsia="Calibri" w:hAnsi="Calibri"/>
        </w:rPr>
      </w:pPr>
      <w:r w:rsidDel="00000000" w:rsidR="00000000" w:rsidRPr="00000000">
        <w:rPr>
          <w:rtl w:val="0"/>
        </w:rPr>
      </w:r>
    </w:p>
    <w:p w:rsidR="00000000" w:rsidDel="00000000" w:rsidP="00000000" w:rsidRDefault="00000000" w:rsidRPr="00000000" w14:paraId="000000EC">
      <w:pPr>
        <w:rPr>
          <w:rFonts w:ascii="Calibri" w:cs="Calibri" w:eastAsia="Calibri" w:hAnsi="Calibri"/>
        </w:rPr>
      </w:pPr>
      <w:r w:rsidDel="00000000" w:rsidR="00000000" w:rsidRPr="00000000">
        <w:rPr>
          <w:rtl w:val="0"/>
        </w:rPr>
      </w:r>
    </w:p>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rPr>
          <w:rFonts w:ascii="Calibri" w:cs="Calibri" w:eastAsia="Calibri" w:hAnsi="Calibri"/>
        </w:rPr>
      </w:pPr>
      <w:r w:rsidDel="00000000" w:rsidR="00000000" w:rsidRPr="00000000">
        <w:rPr>
          <w:rtl w:val="0"/>
        </w:rPr>
      </w:r>
    </w:p>
    <w:p w:rsidR="00000000" w:rsidDel="00000000" w:rsidP="00000000" w:rsidRDefault="00000000" w:rsidRPr="00000000" w14:paraId="000000EF">
      <w:pPr>
        <w:rPr>
          <w:rFonts w:ascii="Calibri" w:cs="Calibri" w:eastAsia="Calibri" w:hAnsi="Calibri"/>
        </w:rPr>
      </w:pPr>
      <w:r w:rsidDel="00000000" w:rsidR="00000000" w:rsidRPr="00000000">
        <w:rPr>
          <w:rtl w:val="0"/>
        </w:rPr>
      </w:r>
    </w:p>
    <w:p w:rsidR="00000000" w:rsidDel="00000000" w:rsidP="00000000" w:rsidRDefault="00000000" w:rsidRPr="00000000" w14:paraId="000000F0">
      <w:pPr>
        <w:rPr>
          <w:rFonts w:ascii="Calibri" w:cs="Calibri" w:eastAsia="Calibri" w:hAnsi="Calibri"/>
        </w:rPr>
      </w:pPr>
      <w:r w:rsidDel="00000000" w:rsidR="00000000" w:rsidRPr="00000000">
        <w:rPr>
          <w:rtl w:val="0"/>
        </w:rPr>
      </w:r>
    </w:p>
    <w:p w:rsidR="00000000" w:rsidDel="00000000" w:rsidP="00000000" w:rsidRDefault="00000000" w:rsidRPr="00000000" w14:paraId="000000F1">
      <w:pPr>
        <w:rPr>
          <w:rFonts w:ascii="Calibri" w:cs="Calibri" w:eastAsia="Calibri" w:hAnsi="Calibri"/>
        </w:rPr>
      </w:pPr>
      <w:r w:rsidDel="00000000" w:rsidR="00000000" w:rsidRPr="00000000">
        <w:rPr>
          <w:rtl w:val="0"/>
        </w:rPr>
      </w:r>
    </w:p>
    <w:p w:rsidR="00000000" w:rsidDel="00000000" w:rsidP="00000000" w:rsidRDefault="00000000" w:rsidRPr="00000000" w14:paraId="000000F2">
      <w:pPr>
        <w:rPr>
          <w:rFonts w:ascii="Calibri" w:cs="Calibri" w:eastAsia="Calibri" w:hAnsi="Calibri"/>
        </w:rPr>
      </w:pPr>
      <w:r w:rsidDel="00000000" w:rsidR="00000000" w:rsidRPr="00000000">
        <w:rPr>
          <w:rtl w:val="0"/>
        </w:rPr>
      </w:r>
    </w:p>
    <w:p w:rsidR="00000000" w:rsidDel="00000000" w:rsidP="00000000" w:rsidRDefault="00000000" w:rsidRPr="00000000" w14:paraId="000000F3">
      <w:pPr>
        <w:rPr>
          <w:rFonts w:ascii="Calibri" w:cs="Calibri" w:eastAsia="Calibri" w:hAnsi="Calibri"/>
        </w:rPr>
      </w:pPr>
      <w:r w:rsidDel="00000000" w:rsidR="00000000" w:rsidRPr="00000000">
        <w:rPr>
          <w:rtl w:val="0"/>
        </w:rPr>
      </w:r>
    </w:p>
    <w:p w:rsidR="00000000" w:rsidDel="00000000" w:rsidP="00000000" w:rsidRDefault="00000000" w:rsidRPr="00000000" w14:paraId="000000F4">
      <w:pPr>
        <w:rPr>
          <w:rFonts w:ascii="Calibri" w:cs="Calibri" w:eastAsia="Calibri" w:hAnsi="Calibri"/>
        </w:rPr>
      </w:pPr>
      <w:r w:rsidDel="00000000" w:rsidR="00000000" w:rsidRPr="00000000">
        <w:rPr>
          <w:rtl w:val="0"/>
        </w:rPr>
      </w:r>
    </w:p>
    <w:p w:rsidR="00000000" w:rsidDel="00000000" w:rsidP="00000000" w:rsidRDefault="00000000" w:rsidRPr="00000000" w14:paraId="000000F5">
      <w:pPr>
        <w:rPr>
          <w:rFonts w:ascii="Calibri" w:cs="Calibri" w:eastAsia="Calibri" w:hAnsi="Calibri"/>
        </w:rPr>
      </w:pPr>
      <w:r w:rsidDel="00000000" w:rsidR="00000000" w:rsidRPr="00000000">
        <w:rPr>
          <w:rtl w:val="0"/>
        </w:rPr>
      </w:r>
    </w:p>
    <w:p w:rsidR="00000000" w:rsidDel="00000000" w:rsidP="00000000" w:rsidRDefault="00000000" w:rsidRPr="00000000" w14:paraId="000000F6">
      <w:pPr>
        <w:rPr>
          <w:rFonts w:ascii="Calibri" w:cs="Calibri" w:eastAsia="Calibri" w:hAnsi="Calibri"/>
        </w:rPr>
      </w:pPr>
      <w:r w:rsidDel="00000000" w:rsidR="00000000" w:rsidRPr="00000000">
        <w:rPr>
          <w:rtl w:val="0"/>
        </w:rPr>
      </w:r>
    </w:p>
    <w:p w:rsidR="00000000" w:rsidDel="00000000" w:rsidP="00000000" w:rsidRDefault="00000000" w:rsidRPr="00000000" w14:paraId="000000F7">
      <w:pPr>
        <w:rPr>
          <w:rFonts w:ascii="Calibri" w:cs="Calibri" w:eastAsia="Calibri" w:hAnsi="Calibri"/>
        </w:rPr>
      </w:pPr>
      <w:r w:rsidDel="00000000" w:rsidR="00000000" w:rsidRPr="00000000">
        <w:rPr>
          <w:rtl w:val="0"/>
        </w:rPr>
      </w:r>
    </w:p>
    <w:p w:rsidR="00000000" w:rsidDel="00000000" w:rsidP="00000000" w:rsidRDefault="00000000" w:rsidRPr="00000000" w14:paraId="000000F8">
      <w:pPr>
        <w:rPr>
          <w:rFonts w:ascii="Calibri" w:cs="Calibri" w:eastAsia="Calibri" w:hAnsi="Calibri"/>
        </w:rPr>
      </w:pPr>
      <w:r w:rsidDel="00000000" w:rsidR="00000000" w:rsidRPr="00000000">
        <w:rPr>
          <w:rtl w:val="0"/>
        </w:rPr>
      </w:r>
    </w:p>
    <w:p w:rsidR="00000000" w:rsidDel="00000000" w:rsidP="00000000" w:rsidRDefault="00000000" w:rsidRPr="00000000" w14:paraId="000000F9">
      <w:pPr>
        <w:rPr>
          <w:rFonts w:ascii="Calibri" w:cs="Calibri" w:eastAsia="Calibri" w:hAnsi="Calibri"/>
        </w:rPr>
      </w:pPr>
      <w:r w:rsidDel="00000000" w:rsidR="00000000" w:rsidRPr="00000000">
        <w:rPr>
          <w:rtl w:val="0"/>
        </w:rPr>
      </w:r>
    </w:p>
    <w:p w:rsidR="00000000" w:rsidDel="00000000" w:rsidP="00000000" w:rsidRDefault="00000000" w:rsidRPr="00000000" w14:paraId="000000FA">
      <w:pPr>
        <w:rPr>
          <w:rFonts w:ascii="Calibri" w:cs="Calibri" w:eastAsia="Calibri" w:hAnsi="Calibri"/>
        </w:rPr>
      </w:pPr>
      <w:r w:rsidDel="00000000" w:rsidR="00000000" w:rsidRPr="00000000">
        <w:rPr>
          <w:rtl w:val="0"/>
        </w:rPr>
      </w:r>
    </w:p>
    <w:p w:rsidR="00000000" w:rsidDel="00000000" w:rsidP="00000000" w:rsidRDefault="00000000" w:rsidRPr="00000000" w14:paraId="000000FB">
      <w:pPr>
        <w:rPr>
          <w:rFonts w:ascii="Calibri" w:cs="Calibri" w:eastAsia="Calibri" w:hAnsi="Calibri"/>
        </w:rPr>
      </w:pPr>
      <w:r w:rsidDel="00000000" w:rsidR="00000000" w:rsidRPr="00000000">
        <w:rPr>
          <w:rtl w:val="0"/>
        </w:rPr>
      </w:r>
    </w:p>
    <w:p w:rsidR="00000000" w:rsidDel="00000000" w:rsidP="00000000" w:rsidRDefault="00000000" w:rsidRPr="00000000" w14:paraId="000000FC">
      <w:pPr>
        <w:pStyle w:val="Heading1"/>
        <w:numPr>
          <w:ilvl w:val="0"/>
          <w:numId w:val="2"/>
        </w:numPr>
        <w:ind w:left="720" w:hanging="360"/>
        <w:rPr>
          <w:rFonts w:ascii="Calibri" w:cs="Calibri" w:eastAsia="Calibri" w:hAnsi="Calibri"/>
          <w:sz w:val="32"/>
          <w:szCs w:val="32"/>
        </w:rPr>
      </w:pPr>
      <w:bookmarkStart w:colFirst="0" w:colLast="0" w:name="_khuenognwfff" w:id="12"/>
      <w:bookmarkEnd w:id="12"/>
      <w:r w:rsidDel="00000000" w:rsidR="00000000" w:rsidRPr="00000000">
        <w:rPr>
          <w:rFonts w:ascii="Calibri" w:cs="Calibri" w:eastAsia="Calibri" w:hAnsi="Calibri"/>
          <w:sz w:val="32"/>
          <w:szCs w:val="32"/>
          <w:rtl w:val="0"/>
        </w:rPr>
        <w:t xml:space="preserve">Arquitectura - Modelo 4+1</w:t>
      </w:r>
    </w:p>
    <w:p w:rsidR="00000000" w:rsidDel="00000000" w:rsidP="00000000" w:rsidRDefault="00000000" w:rsidRPr="00000000" w14:paraId="000000FD">
      <w:pPr>
        <w:rPr>
          <w:rFonts w:ascii="Calibri" w:cs="Calibri" w:eastAsia="Calibri" w:hAnsi="Calibri"/>
        </w:rPr>
      </w:pPr>
      <w:r w:rsidDel="00000000" w:rsidR="00000000" w:rsidRPr="00000000">
        <w:rPr>
          <w:rFonts w:ascii="Calibri" w:cs="Calibri" w:eastAsia="Calibri" w:hAnsi="Calibri"/>
          <w:rtl w:val="0"/>
        </w:rPr>
        <w:t xml:space="preserve">El modelo 4+1 permite documentar la arquitectura desde distintas perspectivas complementarias. Las vistas siguientes se construyen a partir de la arquitectura y tecnologías utilizadas en NormIA y del estado verificado del proyecto.</w:t>
      </w:r>
    </w:p>
    <w:p w:rsidR="00000000" w:rsidDel="00000000" w:rsidP="00000000" w:rsidRDefault="00000000" w:rsidRPr="00000000" w14:paraId="000000FE">
      <w:pPr>
        <w:pStyle w:val="Heading2"/>
        <w:rPr>
          <w:rFonts w:ascii="Calibri" w:cs="Calibri" w:eastAsia="Calibri" w:hAnsi="Calibri"/>
          <w:sz w:val="28"/>
          <w:szCs w:val="28"/>
        </w:rPr>
      </w:pPr>
      <w:bookmarkStart w:colFirst="0" w:colLast="0" w:name="_pu03qkfd81l0" w:id="13"/>
      <w:bookmarkEnd w:id="13"/>
      <w:r w:rsidDel="00000000" w:rsidR="00000000" w:rsidRPr="00000000">
        <w:rPr>
          <w:rFonts w:ascii="Calibri" w:cs="Calibri" w:eastAsia="Calibri" w:hAnsi="Calibri"/>
          <w:sz w:val="28"/>
          <w:szCs w:val="28"/>
          <w:rtl w:val="0"/>
        </w:rPr>
        <w:t xml:space="preserve">6.1 Vista lógica</w:t>
      </w:r>
    </w:p>
    <w:p w:rsidR="00000000" w:rsidDel="00000000" w:rsidP="00000000" w:rsidRDefault="00000000" w:rsidRPr="00000000" w14:paraId="000000FF">
      <w:pPr>
        <w:rPr>
          <w:rFonts w:ascii="Calibri" w:cs="Calibri" w:eastAsia="Calibri" w:hAnsi="Calibri"/>
        </w:rPr>
      </w:pPr>
      <w:r w:rsidDel="00000000" w:rsidR="00000000" w:rsidRPr="00000000">
        <w:rPr>
          <w:rFonts w:ascii="Calibri" w:cs="Calibri" w:eastAsia="Calibri" w:hAnsi="Calibri"/>
          <w:rtl w:val="0"/>
        </w:rPr>
        <w:t xml:space="preserve">Describe la estructura funcional y los componentes centrales del negocio. Muestra la separación de responsabilidades entre la interfaz en React, la API REST en FastAPI (Python) y los módulos encargados de procesar el cumplimiento normativo (ISO 27001, RoPA, RAG Engine y Usuarios). La persistencia de datos se apoya en PostgreSQL con la extensión pgvector para búsquedas vectoriales y en Redis como capa de almacenamiento en caché. </w:t>
      </w:r>
      <w:r w:rsidDel="00000000" w:rsidR="00000000" w:rsidRPr="00000000">
        <w:rPr>
          <w:rtl w:val="0"/>
        </w:rPr>
      </w:r>
    </w:p>
    <w:p w:rsidR="00000000" w:rsidDel="00000000" w:rsidP="00000000" w:rsidRDefault="00000000" w:rsidRPr="00000000" w14:paraId="00000100">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4038600"/>
            <wp:effectExtent b="0" l="0" r="0" t="0"/>
            <wp:docPr id="14" name="image6.png"/>
            <a:graphic>
              <a:graphicData uri="http://schemas.openxmlformats.org/drawingml/2006/picture">
                <pic:pic>
                  <pic:nvPicPr>
                    <pic:cNvPr id="0" name="image6.png"/>
                    <pic:cNvPicPr preferRelativeResize="0"/>
                  </pic:nvPicPr>
                  <pic:blipFill>
                    <a:blip r:embed="rId8"/>
                    <a:srcRect b="6054" l="0" r="0" t="5428"/>
                    <a:stretch>
                      <a:fillRect/>
                    </a:stretch>
                  </pic:blipFill>
                  <pic:spPr>
                    <a:xfrm>
                      <a:off x="0" y="0"/>
                      <a:ext cx="57340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rFonts w:ascii="Calibri" w:cs="Calibri" w:eastAsia="Calibri" w:hAnsi="Calibri"/>
        </w:rPr>
      </w:pPr>
      <w:r w:rsidDel="00000000" w:rsidR="00000000" w:rsidRPr="00000000">
        <w:rPr>
          <w:rtl w:val="0"/>
        </w:rPr>
      </w:r>
    </w:p>
    <w:p w:rsidR="00000000" w:rsidDel="00000000" w:rsidP="00000000" w:rsidRDefault="00000000" w:rsidRPr="00000000" w14:paraId="00000102">
      <w:pPr>
        <w:pStyle w:val="Heading2"/>
        <w:rPr>
          <w:rFonts w:ascii="Calibri" w:cs="Calibri" w:eastAsia="Calibri" w:hAnsi="Calibri"/>
          <w:sz w:val="28"/>
          <w:szCs w:val="28"/>
        </w:rPr>
      </w:pPr>
      <w:bookmarkStart w:colFirst="0" w:colLast="0" w:name="_tvsrmt3j3gnb" w:id="14"/>
      <w:bookmarkEnd w:id="14"/>
      <w:r w:rsidDel="00000000" w:rsidR="00000000" w:rsidRPr="00000000">
        <w:rPr>
          <w:rFonts w:ascii="Calibri" w:cs="Calibri" w:eastAsia="Calibri" w:hAnsi="Calibri"/>
          <w:sz w:val="28"/>
          <w:szCs w:val="28"/>
          <w:rtl w:val="0"/>
        </w:rPr>
        <w:t xml:space="preserve">6.2 Vista de desarrollo</w:t>
      </w:r>
    </w:p>
    <w:p w:rsidR="00000000" w:rsidDel="00000000" w:rsidP="00000000" w:rsidRDefault="00000000" w:rsidRPr="00000000" w14:paraId="00000103">
      <w:pPr>
        <w:rPr>
          <w:rFonts w:ascii="Calibri" w:cs="Calibri" w:eastAsia="Calibri" w:hAnsi="Calibri"/>
        </w:rPr>
      </w:pPr>
      <w:r w:rsidDel="00000000" w:rsidR="00000000" w:rsidRPr="00000000">
        <w:rPr>
          <w:rFonts w:ascii="Calibri" w:cs="Calibri" w:eastAsia="Calibri" w:hAnsi="Calibri"/>
          <w:rtl w:val="0"/>
        </w:rPr>
        <w:t xml:space="preserve">Ilustra la organización del código fuente y la estructura de módulos dentro del repositorio de GitHub. Separa el proyecto en tres paquetes principales: Frontend (</w:t>
      </w:r>
      <w:r w:rsidDel="00000000" w:rsidR="00000000" w:rsidRPr="00000000">
        <w:rPr>
          <w:rFonts w:ascii="Calibri" w:cs="Calibri" w:eastAsia="Calibri" w:hAnsi="Calibri"/>
          <w:rtl w:val="0"/>
        </w:rPr>
        <w:t xml:space="preserve">src/</w:t>
      </w:r>
      <w:r w:rsidDel="00000000" w:rsidR="00000000" w:rsidRPr="00000000">
        <w:rPr>
          <w:rFonts w:ascii="Calibri" w:cs="Calibri" w:eastAsia="Calibri" w:hAnsi="Calibri"/>
          <w:rtl w:val="0"/>
        </w:rPr>
        <w:t xml:space="preserve">) enfocado en componentes e interfaz de usuario; Backend (</w:t>
      </w:r>
      <w:r w:rsidDel="00000000" w:rsidR="00000000" w:rsidRPr="00000000">
        <w:rPr>
          <w:rFonts w:ascii="Calibri" w:cs="Calibri" w:eastAsia="Calibri" w:hAnsi="Calibri"/>
          <w:rtl w:val="0"/>
        </w:rPr>
        <w:t xml:space="preserve">app/</w:t>
      </w:r>
      <w:r w:rsidDel="00000000" w:rsidR="00000000" w:rsidRPr="00000000">
        <w:rPr>
          <w:rFonts w:ascii="Calibri" w:cs="Calibri" w:eastAsia="Calibri" w:hAnsi="Calibri"/>
          <w:rtl w:val="0"/>
        </w:rPr>
        <w:t xml:space="preserve">) orientado a rutas, modelos, esquemas y lógica de IA (RAG); e Infraestructura (</w:t>
      </w:r>
      <w:r w:rsidDel="00000000" w:rsidR="00000000" w:rsidRPr="00000000">
        <w:rPr>
          <w:rFonts w:ascii="Calibri" w:cs="Calibri" w:eastAsia="Calibri" w:hAnsi="Calibri"/>
          <w:rtl w:val="0"/>
        </w:rPr>
        <w:t xml:space="preserve">root/docker</w:t>
      </w:r>
      <w:r w:rsidDel="00000000" w:rsidR="00000000" w:rsidRPr="00000000">
        <w:rPr>
          <w:rFonts w:ascii="Calibri" w:cs="Calibri" w:eastAsia="Calibri" w:hAnsi="Calibri"/>
          <w:rtl w:val="0"/>
        </w:rPr>
        <w:t xml:space="preserve">) que contempla los archivos de configuración, entorno (</w:t>
      </w:r>
      <w:r w:rsidDel="00000000" w:rsidR="00000000" w:rsidRPr="00000000">
        <w:rPr>
          <w:rFonts w:ascii="Calibri" w:cs="Calibri" w:eastAsia="Calibri" w:hAnsi="Calibri"/>
          <w:rtl w:val="0"/>
        </w:rPr>
        <w:t xml:space="preserve">.env</w:t>
      </w:r>
      <w:r w:rsidDel="00000000" w:rsidR="00000000" w:rsidRPr="00000000">
        <w:rPr>
          <w:rFonts w:ascii="Calibri" w:cs="Calibri" w:eastAsia="Calibri" w:hAnsi="Calibri"/>
          <w:rtl w:val="0"/>
        </w:rPr>
        <w:t xml:space="preserve">) y contenedorización local. </w:t>
      </w:r>
      <w:r w:rsidDel="00000000" w:rsidR="00000000" w:rsidRPr="00000000">
        <w:rPr>
          <w:rtl w:val="0"/>
        </w:rPr>
      </w:r>
    </w:p>
    <w:p w:rsidR="00000000" w:rsidDel="00000000" w:rsidP="00000000" w:rsidRDefault="00000000" w:rsidRPr="00000000" w14:paraId="00000104">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48325" cy="2876550"/>
            <wp:effectExtent b="0" l="0" r="0" t="0"/>
            <wp:docPr id="1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648325"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2"/>
        <w:rPr>
          <w:rFonts w:ascii="Calibri" w:cs="Calibri" w:eastAsia="Calibri" w:hAnsi="Calibri"/>
          <w:sz w:val="28"/>
          <w:szCs w:val="28"/>
        </w:rPr>
      </w:pPr>
      <w:bookmarkStart w:colFirst="0" w:colLast="0" w:name="_iq4s0wkad95k" w:id="15"/>
      <w:bookmarkEnd w:id="15"/>
      <w:r w:rsidDel="00000000" w:rsidR="00000000" w:rsidRPr="00000000">
        <w:rPr>
          <w:rFonts w:ascii="Calibri" w:cs="Calibri" w:eastAsia="Calibri" w:hAnsi="Calibri"/>
          <w:sz w:val="28"/>
          <w:szCs w:val="28"/>
          <w:rtl w:val="0"/>
        </w:rPr>
        <w:t xml:space="preserve">6.3 Vista de procesos</w:t>
      </w:r>
    </w:p>
    <w:p w:rsidR="00000000" w:rsidDel="00000000" w:rsidP="00000000" w:rsidRDefault="00000000" w:rsidRPr="00000000" w14:paraId="00000106">
      <w:pPr>
        <w:rPr>
          <w:rFonts w:ascii="Calibri" w:cs="Calibri" w:eastAsia="Calibri" w:hAnsi="Calibri"/>
        </w:rPr>
      </w:pPr>
      <w:r w:rsidDel="00000000" w:rsidR="00000000" w:rsidRPr="00000000">
        <w:rPr>
          <w:rFonts w:ascii="Calibri" w:cs="Calibri" w:eastAsia="Calibri" w:hAnsi="Calibri"/>
          <w:rtl w:val="0"/>
        </w:rPr>
        <w:t xml:space="preserve">Modela el comportamiento dinámico del sistema durante la ejecución de tareas mediante un diagrama de secuencia UML. Ilustra la interacción asíncrona y la mensajería HTTP entre el Usuario, React, FastAPI, pgvector y el motor de IA (Groq) para el flujo de consulta enriquecida con RAG Engine </w:t>
      </w:r>
      <w:r w:rsidDel="00000000" w:rsidR="00000000" w:rsidRPr="00000000">
        <w:rPr>
          <w:rtl w:val="0"/>
        </w:rPr>
      </w:r>
    </w:p>
    <w:p w:rsidR="00000000" w:rsidDel="00000000" w:rsidP="00000000" w:rsidRDefault="00000000" w:rsidRPr="00000000" w14:paraId="00000107">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81300"/>
            <wp:effectExtent b="0" l="0" r="0" t="0"/>
            <wp:docPr id="2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2"/>
        <w:rPr>
          <w:rFonts w:ascii="Calibri" w:cs="Calibri" w:eastAsia="Calibri" w:hAnsi="Calibri"/>
          <w:sz w:val="28"/>
          <w:szCs w:val="28"/>
        </w:rPr>
      </w:pPr>
      <w:bookmarkStart w:colFirst="0" w:colLast="0" w:name="_go7xza14wm9o" w:id="16"/>
      <w:bookmarkEnd w:id="16"/>
      <w:r w:rsidDel="00000000" w:rsidR="00000000" w:rsidRPr="00000000">
        <w:rPr>
          <w:rFonts w:ascii="Calibri" w:cs="Calibri" w:eastAsia="Calibri" w:hAnsi="Calibri"/>
          <w:sz w:val="28"/>
          <w:szCs w:val="28"/>
          <w:rtl w:val="0"/>
        </w:rPr>
        <w:t xml:space="preserve">6.4 Vista física - despliegue y ejecución</w:t>
      </w:r>
    </w:p>
    <w:p w:rsidR="00000000" w:rsidDel="00000000" w:rsidP="00000000" w:rsidRDefault="00000000" w:rsidRPr="00000000" w14:paraId="00000109">
      <w:pPr>
        <w:rPr>
          <w:rFonts w:ascii="Calibri" w:cs="Calibri" w:eastAsia="Calibri" w:hAnsi="Calibri"/>
        </w:rPr>
      </w:pPr>
      <w:r w:rsidDel="00000000" w:rsidR="00000000" w:rsidRPr="00000000">
        <w:rPr>
          <w:rFonts w:ascii="Calibri" w:cs="Calibri" w:eastAsia="Calibri" w:hAnsi="Calibri"/>
          <w:rtl w:val="0"/>
        </w:rPr>
        <w:t xml:space="preserve">Muestra la topología de red, los nodos de infraestructura cloud y los protocolos de comunicación utilizados para el entorno de producción. El Frontend está desplegado en Vercel comunicándose vía HTTPS con el Backend alojado en Render. Este último se conecta de forma segura a la base de datos gestionada en Neon Cloud (PostgreSQL + pgvector) y a los servicios externos de Groq API (LLM) y Redis. </w:t>
      </w:r>
      <w:r w:rsidDel="00000000" w:rsidR="00000000" w:rsidRPr="00000000">
        <w:rPr>
          <w:rtl w:val="0"/>
        </w:rPr>
      </w:r>
    </w:p>
    <w:p w:rsidR="00000000" w:rsidDel="00000000" w:rsidP="00000000" w:rsidRDefault="00000000" w:rsidRPr="00000000" w14:paraId="0000010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275844" cy="5784490"/>
            <wp:effectExtent b="0" l="0" r="0" t="0"/>
            <wp:docPr id="18"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75844" cy="578449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2"/>
        <w:rPr>
          <w:rFonts w:ascii="Calibri" w:cs="Calibri" w:eastAsia="Calibri" w:hAnsi="Calibri"/>
          <w:sz w:val="28"/>
          <w:szCs w:val="28"/>
        </w:rPr>
      </w:pPr>
      <w:bookmarkStart w:colFirst="0" w:colLast="0" w:name="_bgxr26wnv979" w:id="17"/>
      <w:bookmarkEnd w:id="17"/>
      <w:r w:rsidDel="00000000" w:rsidR="00000000" w:rsidRPr="00000000">
        <w:rPr>
          <w:rFonts w:ascii="Calibri" w:cs="Calibri" w:eastAsia="Calibri" w:hAnsi="Calibri"/>
          <w:sz w:val="28"/>
          <w:szCs w:val="28"/>
          <w:rtl w:val="0"/>
        </w:rPr>
        <w:t xml:space="preserve">6.5 Vista de escenarios</w:t>
      </w:r>
    </w:p>
    <w:p w:rsidR="00000000" w:rsidDel="00000000" w:rsidP="00000000" w:rsidRDefault="00000000" w:rsidRPr="00000000" w14:paraId="0000010C">
      <w:pPr>
        <w:rPr>
          <w:rFonts w:ascii="Calibri" w:cs="Calibri" w:eastAsia="Calibri" w:hAnsi="Calibri"/>
        </w:rPr>
      </w:pPr>
      <w:r w:rsidDel="00000000" w:rsidR="00000000" w:rsidRPr="00000000">
        <w:rPr>
          <w:rFonts w:ascii="Calibri" w:cs="Calibri" w:eastAsia="Calibri" w:hAnsi="Calibri"/>
          <w:rtl w:val="0"/>
        </w:rPr>
        <w:t xml:space="preserve">Representa los flujos de uso integradores que unen las cuatro vistas anteriores a partir de los requerimientos de la plataforma. Mapea la secuencia paso a paso para la Evaluación de Cumplimiento ISO 27001, el Registro de Actividades de Tratamiento (RoPA) y las Consultas Asistidas por IA (RAG), asegurando la trazabilidad entre el usuario, la API y la persistencia de datos. </w:t>
      </w:r>
      <w:r w:rsidDel="00000000" w:rsidR="00000000" w:rsidRPr="00000000">
        <w:rPr>
          <w:rtl w:val="0"/>
        </w:rPr>
      </w:r>
    </w:p>
    <w:p w:rsidR="00000000" w:rsidDel="00000000" w:rsidP="00000000" w:rsidRDefault="00000000" w:rsidRPr="00000000" w14:paraId="0000010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416300"/>
            <wp:effectExtent b="0" l="0" r="0" t="0"/>
            <wp:docPr id="2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4163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540000"/>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2540000"/>
                    </a:xfrm>
                    <a:prstGeom prst="rect"/>
                    <a:ln/>
                  </pic:spPr>
                </pic:pic>
              </a:graphicData>
            </a:graphic>
          </wp:inline>
        </w:drawing>
      </w:r>
      <w:r w:rsidDel="00000000" w:rsidR="00000000" w:rsidRPr="00000000">
        <w:rPr>
          <w:rFonts w:ascii="Calibri" w:cs="Calibri" w:eastAsia="Calibri" w:hAnsi="Calibri"/>
        </w:rPr>
        <w:drawing>
          <wp:inline distB="114300" distT="114300" distL="114300" distR="114300">
            <wp:extent cx="5731200" cy="22987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1"/>
        <w:numPr>
          <w:ilvl w:val="0"/>
          <w:numId w:val="2"/>
        </w:numPr>
        <w:spacing w:after="0" w:afterAutospacing="0"/>
        <w:ind w:left="720" w:hanging="360"/>
        <w:rPr>
          <w:rFonts w:ascii="Calibri" w:cs="Calibri" w:eastAsia="Calibri" w:hAnsi="Calibri"/>
          <w:sz w:val="32"/>
          <w:szCs w:val="32"/>
        </w:rPr>
      </w:pPr>
      <w:bookmarkStart w:colFirst="0" w:colLast="0" w:name="_amolbhhkaryt" w:id="18"/>
      <w:bookmarkEnd w:id="18"/>
      <w:r w:rsidDel="00000000" w:rsidR="00000000" w:rsidRPr="00000000">
        <w:rPr>
          <w:rFonts w:ascii="Calibri" w:cs="Calibri" w:eastAsia="Calibri" w:hAnsi="Calibri"/>
          <w:sz w:val="32"/>
          <w:szCs w:val="32"/>
          <w:rtl w:val="0"/>
        </w:rPr>
        <w:t xml:space="preserve">Tabla de secuencias</w:t>
      </w:r>
    </w:p>
    <w:p w:rsidR="00000000" w:rsidDel="00000000" w:rsidP="00000000" w:rsidRDefault="00000000" w:rsidRPr="00000000" w14:paraId="0000010F">
      <w:pPr>
        <w:pStyle w:val="Heading2"/>
        <w:numPr>
          <w:ilvl w:val="1"/>
          <w:numId w:val="2"/>
        </w:numPr>
        <w:spacing w:before="0" w:beforeAutospacing="0"/>
        <w:ind w:left="1440" w:hanging="360"/>
        <w:rPr>
          <w:rFonts w:ascii="Calibri" w:cs="Calibri" w:eastAsia="Calibri" w:hAnsi="Calibri"/>
          <w:sz w:val="28"/>
          <w:szCs w:val="28"/>
        </w:rPr>
      </w:pPr>
      <w:bookmarkStart w:colFirst="0" w:colLast="0" w:name="_1hs8kmfa7pw8" w:id="19"/>
      <w:bookmarkEnd w:id="19"/>
      <w:r w:rsidDel="00000000" w:rsidR="00000000" w:rsidRPr="00000000">
        <w:rPr>
          <w:rFonts w:ascii="Calibri" w:cs="Calibri" w:eastAsia="Calibri" w:hAnsi="Calibri"/>
          <w:sz w:val="28"/>
          <w:szCs w:val="28"/>
          <w:rtl w:val="0"/>
        </w:rPr>
        <w:t xml:space="preserve">Evaluar documentos con IA</w:t>
      </w:r>
    </w:p>
    <w:p w:rsidR="00000000" w:rsidDel="00000000" w:rsidP="00000000" w:rsidRDefault="00000000" w:rsidRPr="00000000" w14:paraId="00000110">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6234113" cy="3895725"/>
            <wp:effectExtent b="0" l="0" r="0" t="0"/>
            <wp:docPr id="20" name="image24.jpg"/>
            <a:graphic>
              <a:graphicData uri="http://schemas.openxmlformats.org/drawingml/2006/picture">
                <pic:pic>
                  <pic:nvPicPr>
                    <pic:cNvPr id="0" name="image24.jpg"/>
                    <pic:cNvPicPr preferRelativeResize="0"/>
                  </pic:nvPicPr>
                  <pic:blipFill>
                    <a:blip r:embed="rId15"/>
                    <a:srcRect b="0" l="0" r="0" t="0"/>
                    <a:stretch>
                      <a:fillRect/>
                    </a:stretch>
                  </pic:blipFill>
                  <pic:spPr>
                    <a:xfrm>
                      <a:off x="0" y="0"/>
                      <a:ext cx="6234113"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2"/>
        <w:numPr>
          <w:ilvl w:val="1"/>
          <w:numId w:val="2"/>
        </w:numPr>
        <w:ind w:left="1440" w:hanging="360"/>
        <w:rPr>
          <w:rFonts w:ascii="Calibri" w:cs="Calibri" w:eastAsia="Calibri" w:hAnsi="Calibri"/>
          <w:sz w:val="28"/>
          <w:szCs w:val="28"/>
        </w:rPr>
      </w:pPr>
      <w:bookmarkStart w:colFirst="0" w:colLast="0" w:name="_a8me5gpee1w1" w:id="20"/>
      <w:bookmarkEnd w:id="20"/>
      <w:r w:rsidDel="00000000" w:rsidR="00000000" w:rsidRPr="00000000">
        <w:rPr>
          <w:rFonts w:ascii="Calibri" w:cs="Calibri" w:eastAsia="Calibri" w:hAnsi="Calibri"/>
          <w:sz w:val="28"/>
          <w:szCs w:val="28"/>
          <w:rtl w:val="0"/>
        </w:rPr>
        <w:t xml:space="preserve">Chatbot con RAG</w:t>
      </w:r>
    </w:p>
    <w:p w:rsidR="00000000" w:rsidDel="00000000" w:rsidP="00000000" w:rsidRDefault="00000000" w:rsidRPr="00000000" w14:paraId="00000112">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31200" cy="3073400"/>
            <wp:effectExtent b="0" l="0" r="0" t="0"/>
            <wp:docPr id="17" name="image27.jpg"/>
            <a:graphic>
              <a:graphicData uri="http://schemas.openxmlformats.org/drawingml/2006/picture">
                <pic:pic>
                  <pic:nvPicPr>
                    <pic:cNvPr id="0" name="image27.jpg"/>
                    <pic:cNvPicPr preferRelativeResize="0"/>
                  </pic:nvPicPr>
                  <pic:blipFill>
                    <a:blip r:embed="rId16"/>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numPr>
          <w:ilvl w:val="1"/>
          <w:numId w:val="2"/>
        </w:numPr>
        <w:ind w:left="1440" w:hanging="360"/>
        <w:rPr>
          <w:rFonts w:ascii="Calibri" w:cs="Calibri" w:eastAsia="Calibri" w:hAnsi="Calibri"/>
          <w:sz w:val="28"/>
          <w:szCs w:val="28"/>
        </w:rPr>
      </w:pPr>
      <w:bookmarkStart w:colFirst="0" w:colLast="0" w:name="_m4wi2o9j9eoz" w:id="21"/>
      <w:bookmarkEnd w:id="21"/>
      <w:r w:rsidDel="00000000" w:rsidR="00000000" w:rsidRPr="00000000">
        <w:rPr>
          <w:rFonts w:ascii="Calibri" w:cs="Calibri" w:eastAsia="Calibri" w:hAnsi="Calibri"/>
          <w:sz w:val="28"/>
          <w:szCs w:val="28"/>
          <w:rtl w:val="0"/>
        </w:rPr>
        <w:t xml:space="preserve">Consentimiento del titular (Ley 21.719) </w:t>
      </w:r>
    </w:p>
    <w:p w:rsidR="00000000" w:rsidDel="00000000" w:rsidP="00000000" w:rsidRDefault="00000000" w:rsidRPr="00000000" w14:paraId="00000114">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31200" cy="4000500"/>
            <wp:effectExtent b="0" l="0" r="0" t="0"/>
            <wp:docPr id="24" name="image29.jpg"/>
            <a:graphic>
              <a:graphicData uri="http://schemas.openxmlformats.org/drawingml/2006/picture">
                <pic:pic>
                  <pic:nvPicPr>
                    <pic:cNvPr id="0" name="image29.jpg"/>
                    <pic:cNvPicPr preferRelativeResize="0"/>
                  </pic:nvPicPr>
                  <pic:blipFill>
                    <a:blip r:embed="rId1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6">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8">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9">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A">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C">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D">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E">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F">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21">
      <w:pPr>
        <w:pStyle w:val="Heading1"/>
        <w:numPr>
          <w:ilvl w:val="0"/>
          <w:numId w:val="2"/>
        </w:numPr>
        <w:spacing w:after="0" w:afterAutospacing="0"/>
        <w:ind w:left="720" w:hanging="360"/>
        <w:rPr>
          <w:rFonts w:ascii="Calibri" w:cs="Calibri" w:eastAsia="Calibri" w:hAnsi="Calibri"/>
          <w:sz w:val="32"/>
          <w:szCs w:val="32"/>
        </w:rPr>
      </w:pPr>
      <w:bookmarkStart w:colFirst="0" w:colLast="0" w:name="_9nql74qx3n51" w:id="22"/>
      <w:bookmarkEnd w:id="22"/>
      <w:r w:rsidDel="00000000" w:rsidR="00000000" w:rsidRPr="00000000">
        <w:rPr>
          <w:rFonts w:ascii="Calibri" w:cs="Calibri" w:eastAsia="Calibri" w:hAnsi="Calibri"/>
          <w:sz w:val="32"/>
          <w:szCs w:val="32"/>
          <w:rtl w:val="0"/>
        </w:rPr>
        <w:t xml:space="preserve">Diagramas de flujo de procesos</w:t>
      </w:r>
    </w:p>
    <w:p w:rsidR="00000000" w:rsidDel="00000000" w:rsidP="00000000" w:rsidRDefault="00000000" w:rsidRPr="00000000" w14:paraId="00000122">
      <w:pPr>
        <w:pStyle w:val="Heading2"/>
        <w:numPr>
          <w:ilvl w:val="1"/>
          <w:numId w:val="2"/>
        </w:numPr>
        <w:spacing w:before="0" w:beforeAutospacing="0"/>
        <w:ind w:left="1440" w:hanging="360"/>
        <w:rPr>
          <w:rFonts w:ascii="Calibri" w:cs="Calibri" w:eastAsia="Calibri" w:hAnsi="Calibri"/>
          <w:sz w:val="28"/>
          <w:szCs w:val="28"/>
        </w:rPr>
      </w:pPr>
      <w:bookmarkStart w:colFirst="0" w:colLast="0" w:name="_ekj7ga5swoos" w:id="23"/>
      <w:bookmarkEnd w:id="23"/>
      <w:r w:rsidDel="00000000" w:rsidR="00000000" w:rsidRPr="00000000">
        <w:rPr>
          <w:rFonts w:ascii="Calibri" w:cs="Calibri" w:eastAsia="Calibri" w:hAnsi="Calibri"/>
          <w:sz w:val="28"/>
          <w:szCs w:val="28"/>
          <w:rtl w:val="0"/>
        </w:rPr>
        <w:t xml:space="preserve">Crear una empresa nueva</w:t>
      </w:r>
    </w:p>
    <w:p w:rsidR="00000000" w:rsidDel="00000000" w:rsidP="00000000" w:rsidRDefault="00000000" w:rsidRPr="00000000" w14:paraId="00000123">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31200" cy="660400"/>
            <wp:effectExtent b="0" l="0" r="0" t="0"/>
            <wp:docPr id="23"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2"/>
        <w:numPr>
          <w:ilvl w:val="1"/>
          <w:numId w:val="2"/>
        </w:numPr>
        <w:ind w:left="1440" w:hanging="360"/>
        <w:rPr>
          <w:rFonts w:ascii="Calibri" w:cs="Calibri" w:eastAsia="Calibri" w:hAnsi="Calibri"/>
          <w:sz w:val="28"/>
          <w:szCs w:val="28"/>
        </w:rPr>
      </w:pPr>
      <w:bookmarkStart w:colFirst="0" w:colLast="0" w:name="_qt4cdn7kxmi7" w:id="24"/>
      <w:bookmarkEnd w:id="24"/>
      <w:r w:rsidDel="00000000" w:rsidR="00000000" w:rsidRPr="00000000">
        <w:rPr>
          <w:rFonts w:ascii="Calibri" w:cs="Calibri" w:eastAsia="Calibri" w:hAnsi="Calibri"/>
          <w:sz w:val="28"/>
          <w:szCs w:val="28"/>
          <w:rtl w:val="0"/>
        </w:rPr>
        <w:t xml:space="preserve">Extraer tratamientos desde documentos</w:t>
      </w:r>
    </w:p>
    <w:p w:rsidR="00000000" w:rsidDel="00000000" w:rsidP="00000000" w:rsidRDefault="00000000" w:rsidRPr="00000000" w14:paraId="00000125">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31200" cy="1231900"/>
            <wp:effectExtent b="0" l="0" r="0" t="0"/>
            <wp:docPr id="28"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2"/>
        <w:numPr>
          <w:ilvl w:val="1"/>
          <w:numId w:val="2"/>
        </w:numPr>
        <w:ind w:left="1440" w:hanging="360"/>
        <w:rPr>
          <w:rFonts w:ascii="Calibri" w:cs="Calibri" w:eastAsia="Calibri" w:hAnsi="Calibri"/>
          <w:sz w:val="28"/>
          <w:szCs w:val="28"/>
        </w:rPr>
      </w:pPr>
      <w:bookmarkStart w:colFirst="0" w:colLast="0" w:name="_e07k18wj6536" w:id="25"/>
      <w:bookmarkEnd w:id="25"/>
      <w:r w:rsidDel="00000000" w:rsidR="00000000" w:rsidRPr="00000000">
        <w:rPr>
          <w:rFonts w:ascii="Calibri" w:cs="Calibri" w:eastAsia="Calibri" w:hAnsi="Calibri"/>
          <w:sz w:val="28"/>
          <w:szCs w:val="28"/>
          <w:rtl w:val="0"/>
        </w:rPr>
        <w:t xml:space="preserve">Evaluar documentos con IA</w:t>
      </w:r>
    </w:p>
    <w:p w:rsidR="00000000" w:rsidDel="00000000" w:rsidP="00000000" w:rsidRDefault="00000000" w:rsidRPr="00000000" w14:paraId="00000127">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31200" cy="1536700"/>
            <wp:effectExtent b="0" l="0" r="0" t="0"/>
            <wp:docPr id="8" name="image22.jpg"/>
            <a:graphic>
              <a:graphicData uri="http://schemas.openxmlformats.org/drawingml/2006/picture">
                <pic:pic>
                  <pic:nvPicPr>
                    <pic:cNvPr id="0" name="image22.jpg"/>
                    <pic:cNvPicPr preferRelativeResize="0"/>
                  </pic:nvPicPr>
                  <pic:blipFill>
                    <a:blip r:embed="rId20"/>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numPr>
          <w:ilvl w:val="1"/>
          <w:numId w:val="2"/>
        </w:numPr>
        <w:ind w:left="1440" w:hanging="360"/>
        <w:rPr>
          <w:rFonts w:ascii="Calibri" w:cs="Calibri" w:eastAsia="Calibri" w:hAnsi="Calibri"/>
          <w:sz w:val="28"/>
          <w:szCs w:val="28"/>
        </w:rPr>
      </w:pPr>
      <w:bookmarkStart w:colFirst="0" w:colLast="0" w:name="_kwvjzwxlnh4v" w:id="26"/>
      <w:bookmarkEnd w:id="26"/>
      <w:r w:rsidDel="00000000" w:rsidR="00000000" w:rsidRPr="00000000">
        <w:rPr>
          <w:rFonts w:ascii="Calibri" w:cs="Calibri" w:eastAsia="Calibri" w:hAnsi="Calibri"/>
          <w:sz w:val="28"/>
          <w:szCs w:val="28"/>
          <w:rtl w:val="0"/>
        </w:rPr>
        <w:t xml:space="preserve">Entrar a una empresa</w:t>
      </w:r>
    </w:p>
    <w:p w:rsidR="00000000" w:rsidDel="00000000" w:rsidP="00000000" w:rsidRDefault="00000000" w:rsidRPr="00000000" w14:paraId="00000129">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31200" cy="1282700"/>
            <wp:effectExtent b="0" l="0" r="0" t="0"/>
            <wp:docPr id="3"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pStyle w:val="Heading2"/>
        <w:numPr>
          <w:ilvl w:val="1"/>
          <w:numId w:val="2"/>
        </w:numPr>
        <w:ind w:left="1440" w:hanging="360"/>
        <w:rPr>
          <w:rFonts w:ascii="Calibri" w:cs="Calibri" w:eastAsia="Calibri" w:hAnsi="Calibri"/>
          <w:sz w:val="28"/>
          <w:szCs w:val="28"/>
        </w:rPr>
      </w:pPr>
      <w:bookmarkStart w:colFirst="0" w:colLast="0" w:name="_wvk9epdzsss4" w:id="27"/>
      <w:bookmarkEnd w:id="27"/>
      <w:r w:rsidDel="00000000" w:rsidR="00000000" w:rsidRPr="00000000">
        <w:rPr>
          <w:rFonts w:ascii="Calibri" w:cs="Calibri" w:eastAsia="Calibri" w:hAnsi="Calibri"/>
          <w:sz w:val="28"/>
          <w:szCs w:val="28"/>
          <w:rtl w:val="0"/>
        </w:rPr>
        <w:t xml:space="preserve">Mapa de riesgos</w:t>
      </w:r>
    </w:p>
    <w:p w:rsidR="00000000" w:rsidDel="00000000" w:rsidP="00000000" w:rsidRDefault="00000000" w:rsidRPr="00000000" w14:paraId="0000012B">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31200" cy="2362200"/>
            <wp:effectExtent b="0" l="0" r="0" t="0"/>
            <wp:docPr id="6" name="image25.jpg"/>
            <a:graphic>
              <a:graphicData uri="http://schemas.openxmlformats.org/drawingml/2006/picture">
                <pic:pic>
                  <pic:nvPicPr>
                    <pic:cNvPr id="0" name="image25.jpg"/>
                    <pic:cNvPicPr preferRelativeResize="0"/>
                  </pic:nvPicPr>
                  <pic:blipFill>
                    <a:blip r:embed="rId22"/>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2"/>
        <w:numPr>
          <w:ilvl w:val="1"/>
          <w:numId w:val="2"/>
        </w:numPr>
        <w:ind w:left="1440" w:hanging="360"/>
        <w:rPr>
          <w:rFonts w:ascii="Calibri" w:cs="Calibri" w:eastAsia="Calibri" w:hAnsi="Calibri"/>
          <w:sz w:val="28"/>
          <w:szCs w:val="28"/>
        </w:rPr>
      </w:pPr>
      <w:bookmarkStart w:colFirst="0" w:colLast="0" w:name="_lxhl69tflxaf" w:id="28"/>
      <w:bookmarkEnd w:id="28"/>
      <w:r w:rsidDel="00000000" w:rsidR="00000000" w:rsidRPr="00000000">
        <w:rPr>
          <w:rFonts w:ascii="Calibri" w:cs="Calibri" w:eastAsia="Calibri" w:hAnsi="Calibri"/>
          <w:sz w:val="28"/>
          <w:szCs w:val="28"/>
          <w:rtl w:val="0"/>
        </w:rPr>
        <w:t xml:space="preserve">Registrar una empresa nueva</w:t>
      </w:r>
    </w:p>
    <w:p w:rsidR="00000000" w:rsidDel="00000000" w:rsidP="00000000" w:rsidRDefault="00000000" w:rsidRPr="00000000" w14:paraId="0000012D">
      <w:pPr>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5731200" cy="2120900"/>
            <wp:effectExtent b="0" l="0" r="0" t="0"/>
            <wp:docPr id="16" name="image26.jpg"/>
            <a:graphic>
              <a:graphicData uri="http://schemas.openxmlformats.org/drawingml/2006/picture">
                <pic:pic>
                  <pic:nvPicPr>
                    <pic:cNvPr id="0" name="image26.jpg"/>
                    <pic:cNvPicPr preferRelativeResize="0"/>
                  </pic:nvPicPr>
                  <pic:blipFill>
                    <a:blip r:embed="rId23"/>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pStyle w:val="Heading2"/>
        <w:numPr>
          <w:ilvl w:val="1"/>
          <w:numId w:val="2"/>
        </w:numPr>
        <w:ind w:left="1440" w:hanging="360"/>
        <w:rPr>
          <w:rFonts w:ascii="Calibri" w:cs="Calibri" w:eastAsia="Calibri" w:hAnsi="Calibri"/>
          <w:sz w:val="28"/>
          <w:szCs w:val="28"/>
        </w:rPr>
      </w:pPr>
      <w:bookmarkStart w:colFirst="0" w:colLast="0" w:name="_qs09woqn5rp" w:id="29"/>
      <w:bookmarkEnd w:id="29"/>
      <w:r w:rsidDel="00000000" w:rsidR="00000000" w:rsidRPr="00000000">
        <w:rPr>
          <w:rFonts w:ascii="Calibri" w:cs="Calibri" w:eastAsia="Calibri" w:hAnsi="Calibri"/>
          <w:sz w:val="28"/>
          <w:szCs w:val="28"/>
          <w:rtl w:val="0"/>
        </w:rPr>
        <w:t xml:space="preserve">Invitar un usuario a mi empresa</w:t>
      </w:r>
    </w:p>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511300"/>
            <wp:effectExtent b="0" l="0" r="0" t="0"/>
            <wp:docPr id="19" name="image23.jpg"/>
            <a:graphic>
              <a:graphicData uri="http://schemas.openxmlformats.org/drawingml/2006/picture">
                <pic:pic>
                  <pic:nvPicPr>
                    <pic:cNvPr id="0" name="image23.jpg"/>
                    <pic:cNvPicPr preferRelativeResize="0"/>
                  </pic:nvPicPr>
                  <pic:blipFill>
                    <a:blip r:embed="rId24"/>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rFonts w:ascii="Calibri" w:cs="Calibri" w:eastAsia="Calibri" w:hAnsi="Calibri"/>
        </w:rPr>
      </w:pPr>
      <w:r w:rsidDel="00000000" w:rsidR="00000000" w:rsidRPr="00000000">
        <w:rPr>
          <w:rtl w:val="0"/>
        </w:rPr>
      </w:r>
    </w:p>
    <w:p w:rsidR="00000000" w:rsidDel="00000000" w:rsidP="00000000" w:rsidRDefault="00000000" w:rsidRPr="00000000" w14:paraId="00000131">
      <w:pPr>
        <w:rPr>
          <w:rFonts w:ascii="Calibri" w:cs="Calibri" w:eastAsia="Calibri" w:hAnsi="Calibri"/>
        </w:rPr>
      </w:pPr>
      <w:r w:rsidDel="00000000" w:rsidR="00000000" w:rsidRPr="00000000">
        <w:rPr>
          <w:rtl w:val="0"/>
        </w:rPr>
      </w:r>
    </w:p>
    <w:p w:rsidR="00000000" w:rsidDel="00000000" w:rsidP="00000000" w:rsidRDefault="00000000" w:rsidRPr="00000000" w14:paraId="00000132">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133">
      <w:pPr>
        <w:pStyle w:val="Heading1"/>
        <w:numPr>
          <w:ilvl w:val="0"/>
          <w:numId w:val="2"/>
        </w:numPr>
        <w:ind w:left="720" w:hanging="360"/>
        <w:rPr>
          <w:rFonts w:ascii="Calibri" w:cs="Calibri" w:eastAsia="Calibri" w:hAnsi="Calibri"/>
          <w:sz w:val="32"/>
          <w:szCs w:val="32"/>
        </w:rPr>
      </w:pPr>
      <w:bookmarkStart w:colFirst="0" w:colLast="0" w:name="_g7u9icxui636" w:id="30"/>
      <w:bookmarkEnd w:id="30"/>
      <w:r w:rsidDel="00000000" w:rsidR="00000000" w:rsidRPr="00000000">
        <w:rPr>
          <w:rFonts w:ascii="Calibri" w:cs="Calibri" w:eastAsia="Calibri" w:hAnsi="Calibri"/>
          <w:sz w:val="32"/>
          <w:szCs w:val="32"/>
          <w:rtl w:val="0"/>
        </w:rPr>
        <w:t xml:space="preserve">Tecnologías e infraestructura</w:t>
      </w:r>
    </w:p>
    <w:p w:rsidR="00000000" w:rsidDel="00000000" w:rsidP="00000000" w:rsidRDefault="00000000" w:rsidRPr="00000000" w14:paraId="00000134">
      <w:pPr>
        <w:rPr>
          <w:rFonts w:ascii="Calibri" w:cs="Calibri" w:eastAsia="Calibri" w:hAnsi="Calibri"/>
        </w:rPr>
      </w:pPr>
      <w:r w:rsidDel="00000000" w:rsidR="00000000" w:rsidRPr="00000000">
        <w:rPr>
          <w:rtl w:val="0"/>
        </w:rPr>
      </w:r>
    </w:p>
    <w:tbl>
      <w:tblPr>
        <w:tblStyle w:val="Table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4485"/>
        <w:gridCol w:w="2280"/>
        <w:tblGridChange w:id="0">
          <w:tblGrid>
            <w:gridCol w:w="2055"/>
            <w:gridCol w:w="4485"/>
            <w:gridCol w:w="2280"/>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Tecnología / servicio</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Uso en NormIA</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 / evidencia</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React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Front-End, navegación, componentes e interfaces.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FastAPI / Python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API y lógica del Back-End.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PostgreSQL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Persistencia de datos.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pgvector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Almacena los embeddings de evidencias y normativa ISO para la búsqueda semántica (RAG) del chat 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Configurado en Docker</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Redis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Caché de datos consultados frecuentemente en el entorno local.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Configurado en Docker</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Docker Compose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Ejecución local de PostgreSQL/pgvector y Redis.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Git / GitHub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Versionamiento, ramas, commits y trazabilidad.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Confirmado</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Vercel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Despliegue del Front-End.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Confirmado por el equipo</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Render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Despliegue del Back-End.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Confirmado por el equipo</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IA / prompts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Groq (modelo Llama 3.3 70B): evaluación de documentos, extracción de tratamientos (RoPA), chat con RAG y análisis de riesgos.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Implementado (validación final en curso)</w:t>
            </w:r>
            <w:r w:rsidDel="00000000" w:rsidR="00000000" w:rsidRPr="00000000">
              <w:rPr>
                <w:rtl w:val="0"/>
              </w:rPr>
            </w:r>
          </w:p>
        </w:tc>
      </w:tr>
    </w:tbl>
    <w:p w:rsidR="00000000" w:rsidDel="00000000" w:rsidP="00000000" w:rsidRDefault="00000000" w:rsidRPr="00000000" w14:paraId="00000156">
      <w:pPr>
        <w:pStyle w:val="Heading1"/>
        <w:ind w:left="720" w:firstLine="0"/>
        <w:rPr>
          <w:rFonts w:ascii="Calibri" w:cs="Calibri" w:eastAsia="Calibri" w:hAnsi="Calibri"/>
          <w:sz w:val="32"/>
          <w:szCs w:val="32"/>
        </w:rPr>
      </w:pPr>
      <w:bookmarkStart w:colFirst="0" w:colLast="0" w:name="_qqb03faje1b0" w:id="31"/>
      <w:bookmarkEnd w:id="31"/>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numPr>
          <w:ilvl w:val="0"/>
          <w:numId w:val="2"/>
        </w:numPr>
        <w:ind w:left="720" w:hanging="360"/>
        <w:rPr>
          <w:rFonts w:ascii="Calibri" w:cs="Calibri" w:eastAsia="Calibri" w:hAnsi="Calibri"/>
          <w:sz w:val="32"/>
          <w:szCs w:val="32"/>
        </w:rPr>
      </w:pPr>
      <w:bookmarkStart w:colFirst="0" w:colLast="0" w:name="_yzs3tl738t6c" w:id="32"/>
      <w:bookmarkEnd w:id="32"/>
      <w:r w:rsidDel="00000000" w:rsidR="00000000" w:rsidRPr="00000000">
        <w:rPr>
          <w:rFonts w:ascii="Calibri" w:cs="Calibri" w:eastAsia="Calibri" w:hAnsi="Calibri"/>
          <w:sz w:val="32"/>
          <w:szCs w:val="32"/>
          <w:rtl w:val="0"/>
        </w:rPr>
        <w:t xml:space="preserve">Desarrollo Fase 2</w:t>
      </w:r>
    </w:p>
    <w:p w:rsidR="00000000" w:rsidDel="00000000" w:rsidP="00000000" w:rsidRDefault="00000000" w:rsidRPr="00000000" w14:paraId="00000168">
      <w:pPr>
        <w:pStyle w:val="Heading2"/>
        <w:rPr>
          <w:rFonts w:ascii="Calibri" w:cs="Calibri" w:eastAsia="Calibri" w:hAnsi="Calibri"/>
          <w:sz w:val="28"/>
          <w:szCs w:val="28"/>
        </w:rPr>
      </w:pPr>
      <w:bookmarkStart w:colFirst="0" w:colLast="0" w:name="_rm11cemhlve6" w:id="33"/>
      <w:bookmarkEnd w:id="33"/>
      <w:r w:rsidDel="00000000" w:rsidR="00000000" w:rsidRPr="00000000">
        <w:rPr>
          <w:rFonts w:ascii="Calibri" w:cs="Calibri" w:eastAsia="Calibri" w:hAnsi="Calibri"/>
          <w:sz w:val="28"/>
          <w:szCs w:val="28"/>
          <w:rtl w:val="0"/>
        </w:rPr>
        <w:t xml:space="preserve">10.1 Front-End, UX e identidad NormIA</w:t>
      </w:r>
    </w:p>
    <w:p w:rsidR="00000000" w:rsidDel="00000000" w:rsidP="00000000" w:rsidRDefault="00000000" w:rsidRPr="00000000" w14:paraId="00000169">
      <w:pPr>
        <w:rPr>
          <w:rFonts w:ascii="Calibri" w:cs="Calibri" w:eastAsia="Calibri" w:hAnsi="Calibri"/>
        </w:rPr>
      </w:pPr>
      <w:r w:rsidDel="00000000" w:rsidR="00000000" w:rsidRPr="00000000">
        <w:rPr>
          <w:rFonts w:ascii="Calibri" w:cs="Calibri" w:eastAsia="Calibri" w:hAnsi="Calibri"/>
          <w:rtl w:val="0"/>
        </w:rPr>
        <w:t xml:space="preserve">El trabajo de Front-End se enfocó en mejorar la experiencia visual, la navegación y la comprensión del producto. Se desarrolló una Landing Page que antes no existía, incorporando información sobre la plataforma, sus soluciones, funcionamiento y normativas. Además, se reforzó la identidad visual y el cambio de nombre hacia NormIA (ver Anexo B).</w:t>
      </w:r>
    </w:p>
    <w:p w:rsidR="00000000" w:rsidDel="00000000" w:rsidP="00000000" w:rsidRDefault="00000000" w:rsidRPr="00000000" w14:paraId="0000016A">
      <w:pPr>
        <w:rPr>
          <w:rFonts w:ascii="Calibri" w:cs="Calibri" w:eastAsia="Calibri" w:hAnsi="Calibri"/>
        </w:rPr>
      </w:pPr>
      <w:r w:rsidDel="00000000" w:rsidR="00000000" w:rsidRPr="00000000">
        <w:rPr>
          <w:rtl w:val="0"/>
        </w:rPr>
      </w:r>
    </w:p>
    <w:p w:rsidR="00000000" w:rsidDel="00000000" w:rsidP="00000000" w:rsidRDefault="00000000" w:rsidRPr="00000000" w14:paraId="0000016B">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Nueva Landing Page en React.</w:t>
      </w:r>
    </w:p>
    <w:p w:rsidR="00000000" w:rsidDel="00000000" w:rsidP="00000000" w:rsidRDefault="00000000" w:rsidRPr="00000000" w14:paraId="0000016C">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Accesos a Inicio, Quiénes somos, Soluciones, Cómo funciona y Normativas.</w:t>
      </w:r>
    </w:p>
    <w:p w:rsidR="00000000" w:rsidDel="00000000" w:rsidP="00000000" w:rsidRDefault="00000000" w:rsidRPr="00000000" w14:paraId="0000016D">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Secciones interactivas para explicar capacidades y marcos normativos.</w:t>
      </w:r>
    </w:p>
    <w:p w:rsidR="00000000" w:rsidDel="00000000" w:rsidP="00000000" w:rsidRDefault="00000000" w:rsidRPr="00000000" w14:paraId="0000016E">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Uso consistente de azul y turquesa como identidad del producto.</w:t>
      </w:r>
    </w:p>
    <w:p w:rsidR="00000000" w:rsidDel="00000000" w:rsidP="00000000" w:rsidRDefault="00000000" w:rsidRPr="00000000" w14:paraId="0000016F">
      <w:pPr>
        <w:numPr>
          <w:ilvl w:val="0"/>
          <w:numId w:val="1"/>
        </w:num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ind w:left="720" w:hanging="360"/>
        <w:rPr>
          <w:rFonts w:ascii="Calibri" w:cs="Calibri" w:eastAsia="Calibri" w:hAnsi="Calibri"/>
        </w:rPr>
      </w:pPr>
      <w:r w:rsidDel="00000000" w:rsidR="00000000" w:rsidRPr="00000000">
        <w:rPr>
          <w:rFonts w:ascii="Calibri" w:cs="Calibri" w:eastAsia="Calibri" w:hAnsi="Calibri"/>
          <w:rtl w:val="0"/>
        </w:rPr>
        <w:t xml:space="preserve">Ajustes de navegación, jerarquía visual y legibilidad.</w:t>
      </w:r>
    </w:p>
    <w:p w:rsidR="00000000" w:rsidDel="00000000" w:rsidP="00000000" w:rsidRDefault="00000000" w:rsidRPr="00000000" w14:paraId="00000170">
      <w:pPr>
        <w:pStyle w:val="Heading2"/>
        <w:rPr>
          <w:rFonts w:ascii="Calibri" w:cs="Calibri" w:eastAsia="Calibri" w:hAnsi="Calibri"/>
          <w:sz w:val="28"/>
          <w:szCs w:val="28"/>
        </w:rPr>
      </w:pPr>
      <w:bookmarkStart w:colFirst="0" w:colLast="0" w:name="_fcu9yrqwyfb2" w:id="34"/>
      <w:bookmarkEnd w:id="34"/>
      <w:r w:rsidDel="00000000" w:rsidR="00000000" w:rsidRPr="00000000">
        <w:rPr>
          <w:rFonts w:ascii="Calibri" w:cs="Calibri" w:eastAsia="Calibri" w:hAnsi="Calibri"/>
          <w:sz w:val="28"/>
          <w:szCs w:val="28"/>
          <w:rtl w:val="0"/>
        </w:rPr>
        <w:t xml:space="preserve">10.2 Back-End, API </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Fonts w:ascii="Calibri" w:cs="Calibri" w:eastAsia="Calibri" w:hAnsi="Calibri"/>
          <w:rtl w:val="0"/>
        </w:rPr>
        <w:t xml:space="preserve">El Back-End constituye la capa encargada de conectar la interfaz con la lógica de negocio y la persistencia de datos. Está desarrollado en Python utilizando FastAPI y recibe las solicitudes generadas desde el Front-End en React. A partir de estas solicitudes, el Back-End procesa y valida la información, ejecuta la lógica correspondiente y consulta o actualiza los datos almacenados en PostgreSQL.</w:t>
      </w:r>
    </w:p>
    <w:p w:rsidR="00000000" w:rsidDel="00000000" w:rsidP="00000000" w:rsidRDefault="00000000" w:rsidRPr="00000000" w14:paraId="00000172">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 desarrollada con FastAPI/Python para comunicar el Front-End con los servicios y datos del sistema (ver Anexo F).</w:t>
      </w:r>
    </w:p>
    <w:p w:rsidR="00000000" w:rsidDel="00000000" w:rsidP="00000000" w:rsidRDefault="00000000" w:rsidRPr="00000000" w14:paraId="00000173">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Conexión y validación del Back-End con PostgreSQL durante la ejecución local.</w:t>
      </w:r>
    </w:p>
    <w:p w:rsidR="00000000" w:rsidDel="00000000" w:rsidP="00000000" w:rsidRDefault="00000000" w:rsidRPr="00000000" w14:paraId="00000174">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Configuración de variables de entorno y SECRET_KEY para permitir la correcta ejecución de servicios y scripts.</w:t>
      </w:r>
    </w:p>
    <w:p w:rsidR="00000000" w:rsidDel="00000000" w:rsidP="00000000" w:rsidRDefault="00000000" w:rsidRPr="00000000" w14:paraId="00000175">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Soporte de la arquitectura multi-tenant y de la consola de superadministración dentro de la lógica del sistema.</w:t>
      </w:r>
    </w:p>
    <w:p w:rsidR="00000000" w:rsidDel="00000000" w:rsidP="00000000" w:rsidRDefault="00000000" w:rsidRPr="00000000" w14:paraId="00000176">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Ejecución local mediante Docker Compose junto con PostgreSQL/pgvector y Redis como servicios de apoyo.</w:t>
      </w:r>
    </w:p>
    <w:p w:rsidR="00000000" w:rsidDel="00000000" w:rsidP="00000000" w:rsidRDefault="00000000" w:rsidRPr="00000000" w14:paraId="00000177">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Despliegue del Back-End en Render para disponer de la API en el entorno de producción.</w:t>
      </w:r>
    </w:p>
    <w:p w:rsidR="00000000" w:rsidDel="00000000" w:rsidP="00000000" w:rsidRDefault="00000000" w:rsidRPr="00000000" w14:paraId="00000178">
      <w:pPr>
        <w:numPr>
          <w:ilvl w:val="0"/>
          <w:numId w:val="3"/>
        </w:numPr>
        <w:pBdr>
          <w:top w:color="000000" w:space="0" w:sz="0" w:val="none"/>
          <w:left w:color="000000" w:space="-18" w:sz="0" w:val="none"/>
          <w:bottom w:color="000000" w:space="0" w:sz="0" w:val="none"/>
          <w:right w:color="000000" w:space="0" w:sz="0" w:val="none"/>
          <w:between w:color="000000" w:space="0" w:sz="0" w:val="none"/>
        </w:pBdr>
        <w:shd w:fill="ffffff" w:val="clear"/>
        <w:spacing w:after="20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Pruebas de integración entre React, FastAPI y PostgreSQL; la validación final de endpoints y manejo de errores en producción continúa como actividad de cierre.</w:t>
      </w:r>
    </w:p>
    <w:p w:rsidR="00000000" w:rsidDel="00000000" w:rsidP="00000000" w:rsidRDefault="00000000" w:rsidRPr="00000000" w14:paraId="00000179">
      <w:pPr>
        <w:pStyle w:val="Heading2"/>
        <w:rPr>
          <w:rFonts w:ascii="Calibri" w:cs="Calibri" w:eastAsia="Calibri" w:hAnsi="Calibri"/>
          <w:sz w:val="28"/>
          <w:szCs w:val="28"/>
        </w:rPr>
      </w:pPr>
      <w:bookmarkStart w:colFirst="0" w:colLast="0" w:name="_kmesl920jvwr" w:id="35"/>
      <w:bookmarkEnd w:id="35"/>
      <w:r w:rsidDel="00000000" w:rsidR="00000000" w:rsidRPr="00000000">
        <w:rPr>
          <w:rFonts w:ascii="Calibri" w:cs="Calibri" w:eastAsia="Calibri" w:hAnsi="Calibri"/>
          <w:sz w:val="28"/>
          <w:szCs w:val="28"/>
          <w:rtl w:val="0"/>
        </w:rPr>
        <w:t xml:space="preserve">10.3 Módulos asociados a la Ley N° 21.719</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Fonts w:ascii="Calibri" w:cs="Calibri" w:eastAsia="Calibri" w:hAnsi="Calibri"/>
          <w:rtl w:val="0"/>
        </w:rPr>
        <w:t xml:space="preserve">La planificación consideró módulos asociados al Registro de Actividades de Tratamiento (RoPA), Consentimientos, Solicitudes de Derechos de los Titulares (ARCO+P) y Brechas de Datos (ver Anexo D). Para efectos de documentación, el estado final de cada función debe quedar respaldado con una prueba o captura antes de marcarse como completamente validado.</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tbl>
      <w:tblPr>
        <w:tblStyle w:val="Table5"/>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3885"/>
        <w:gridCol w:w="2895"/>
        <w:tblGridChange w:id="0">
          <w:tblGrid>
            <w:gridCol w:w="2040"/>
            <w:gridCol w:w="3885"/>
            <w:gridCol w:w="289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Módulo</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 funcional</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 documental</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RoPA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Registrar y gestionar actividades de tratamiento.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Desarrollado; requiere evidencia final de flujo</w:t>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Consentimientos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Gestionar consentimiento y trazabilidad asociada.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Desarrollado (envío por correo, aceptar/revocar, historial y recibo); validar en producción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ARCO+P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Gestionar solicitudes de derechos de titulares.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Desarrollado con plazos legales calculados automáticamente; validar flujo</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Brechas de datos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Registrar y gestionar incidentes/brechas.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Desarrollado con plazos legales calculados automáticamente; validar flujo</w:t>
            </w:r>
            <w:r w:rsidDel="00000000" w:rsidR="00000000" w:rsidRPr="00000000">
              <w:rPr>
                <w:rtl w:val="0"/>
              </w:rPr>
            </w:r>
          </w:p>
        </w:tc>
      </w:tr>
    </w:tbl>
    <w:p w:rsidR="00000000" w:rsidDel="00000000" w:rsidP="00000000" w:rsidRDefault="00000000" w:rsidRPr="00000000" w14:paraId="0000018B">
      <w:pPr>
        <w:pStyle w:val="Heading2"/>
        <w:rPr>
          <w:rFonts w:ascii="Calibri" w:cs="Calibri" w:eastAsia="Calibri" w:hAnsi="Calibri"/>
          <w:sz w:val="28"/>
          <w:szCs w:val="28"/>
        </w:rPr>
      </w:pPr>
      <w:bookmarkStart w:colFirst="0" w:colLast="0" w:name="_7vpu0t1xvfnm" w:id="36"/>
      <w:bookmarkEnd w:id="36"/>
      <w:r w:rsidDel="00000000" w:rsidR="00000000" w:rsidRPr="00000000">
        <w:rPr>
          <w:rFonts w:ascii="Calibri" w:cs="Calibri" w:eastAsia="Calibri" w:hAnsi="Calibri"/>
          <w:sz w:val="28"/>
          <w:szCs w:val="28"/>
          <w:rtl w:val="0"/>
        </w:rPr>
        <w:t xml:space="preserve">10.4 Multi-tenant y superadministración</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Fonts w:ascii="Calibri" w:cs="Calibri" w:eastAsia="Calibri" w:hAnsi="Calibri"/>
          <w:rtl w:val="0"/>
        </w:rPr>
        <w:t xml:space="preserve">La plataforma contempla una arquitectura multi-tenant, donde la información se separa por organización, junto con una consola de superadministración para la gestión de empresas y usuarios (ver Anexo E). Estas funciones fueron confirmadas por el equipo y deben acompañarse con capturas del panel administrativo y ejemplos de separación por organización.</w:t>
      </w:r>
    </w:p>
    <w:p w:rsidR="00000000" w:rsidDel="00000000" w:rsidP="00000000" w:rsidRDefault="00000000" w:rsidRPr="00000000" w14:paraId="0000018D">
      <w:pPr>
        <w:pStyle w:val="Heading2"/>
        <w:rPr>
          <w:rFonts w:ascii="Calibri" w:cs="Calibri" w:eastAsia="Calibri" w:hAnsi="Calibri"/>
        </w:rPr>
      </w:pPr>
      <w:bookmarkStart w:colFirst="0" w:colLast="0" w:name="_i5nxqlhprl8" w:id="37"/>
      <w:bookmarkEnd w:id="37"/>
      <w:r w:rsidDel="00000000" w:rsidR="00000000" w:rsidRPr="00000000">
        <w:rPr>
          <w:rFonts w:ascii="Calibri" w:cs="Calibri" w:eastAsia="Calibri" w:hAnsi="Calibri"/>
          <w:sz w:val="28"/>
          <w:szCs w:val="28"/>
          <w:rtl w:val="0"/>
        </w:rPr>
        <w:t xml:space="preserve">10.5 Integración y configuración</w:t>
      </w:r>
      <w:r w:rsidDel="00000000" w:rsidR="00000000" w:rsidRPr="00000000">
        <w:rPr>
          <w:rtl w:val="0"/>
        </w:rPr>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Fonts w:ascii="Calibri" w:cs="Calibri" w:eastAsia="Calibri" w:hAnsi="Calibri"/>
          <w:rtl w:val="0"/>
        </w:rPr>
        <w:t xml:space="preserve">Además del trabajo visual, se realizaron tareas de configuración e integración para ejecutar el proyecto: levantamiento del entorno mediante Docker Compose (ver Anexo C), validación de conexión del Back-End con PostgreSQL, trabajo con Redis y revisión de variables de entorno. Estas actividades permiten demostrar que el aporte no se limitó a la interfaz, sino que también involucró la comprensión del flujo técnico del sistema.</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tl w:val="0"/>
        </w:rPr>
      </w:r>
    </w:p>
    <w:p w:rsidR="00000000" w:rsidDel="00000000" w:rsidP="00000000" w:rsidRDefault="00000000" w:rsidRPr="00000000" w14:paraId="00000199">
      <w:pPr>
        <w:pStyle w:val="Heading1"/>
        <w:numPr>
          <w:ilvl w:val="0"/>
          <w:numId w:val="2"/>
        </w:numPr>
        <w:ind w:left="720" w:hanging="360"/>
        <w:rPr>
          <w:rFonts w:ascii="Calibri" w:cs="Calibri" w:eastAsia="Calibri" w:hAnsi="Calibri"/>
          <w:sz w:val="32"/>
          <w:szCs w:val="32"/>
        </w:rPr>
      </w:pPr>
      <w:bookmarkStart w:colFirst="0" w:colLast="0" w:name="_hx43jghvii51" w:id="38"/>
      <w:bookmarkEnd w:id="38"/>
      <w:r w:rsidDel="00000000" w:rsidR="00000000" w:rsidRPr="00000000">
        <w:rPr>
          <w:rFonts w:ascii="Calibri" w:cs="Calibri" w:eastAsia="Calibri" w:hAnsi="Calibri"/>
          <w:sz w:val="32"/>
          <w:szCs w:val="32"/>
          <w:rtl w:val="0"/>
        </w:rPr>
        <w:t xml:space="preserve">Evidencias técnicas</w:t>
      </w:r>
      <w:r w:rsidDel="00000000" w:rsidR="00000000" w:rsidRPr="00000000">
        <w:rPr>
          <w:rtl w:val="0"/>
        </w:rPr>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Calibri" w:cs="Calibri" w:eastAsia="Calibri" w:hAnsi="Calibri"/>
        </w:rPr>
      </w:pPr>
      <w:r w:rsidDel="00000000" w:rsidR="00000000" w:rsidRPr="00000000">
        <w:rPr>
          <w:rFonts w:ascii="Calibri" w:cs="Calibri" w:eastAsia="Calibri" w:hAnsi="Calibri"/>
          <w:rtl w:val="0"/>
        </w:rPr>
        <w:t xml:space="preserve">La evaluación del proyecto debe apoyarse en evidencias verificables. Se prioriza material que pueda ser mostrado al docente y relacionado directamente con una actividad, un integrante y un cambio del sistema.</w:t>
      </w:r>
    </w:p>
    <w:tbl>
      <w:tblPr>
        <w:tblStyle w:val="Table6"/>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2205"/>
        <w:gridCol w:w="3135"/>
        <w:gridCol w:w="1950"/>
        <w:gridCol w:w="1365"/>
        <w:tblGridChange w:id="0">
          <w:tblGrid>
            <w:gridCol w:w="615"/>
            <w:gridCol w:w="2205"/>
            <w:gridCol w:w="3135"/>
            <w:gridCol w:w="1950"/>
            <w:gridCol w:w="1365"/>
          </w:tblGrid>
        </w:tblGridChange>
      </w:tblGrid>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Evidencia</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Formato</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Qué demuestra</w:t>
            </w:r>
          </w:p>
        </w:tc>
        <w:tc>
          <w:tcPr>
            <w:tcBorders>
              <w:top w:color="000000" w:space="0" w:sz="6" w:val="single"/>
              <w:left w:color="000000" w:space="0" w:sz="6" w:val="single"/>
              <w:bottom w:color="000000" w:space="0" w:sz="6" w:val="single"/>
              <w:right w:color="000000" w:space="0" w:sz="6" w:val="single"/>
            </w:tcBorders>
            <w:shd w:fill="c9daf8" w:val="clear"/>
            <w:tcMar>
              <w:top w:w="0.0" w:type="dxa"/>
              <w:left w:w="100.0" w:type="dxa"/>
              <w:bottom w:w="0.0" w:type="dxa"/>
              <w:right w:w="100.0" w:type="dxa"/>
            </w:tcMar>
            <w:vAlign w:val="center"/>
          </w:tcPr>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Landing Page NormIA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Captura + URL de Vercel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Front-End / UX</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Disponible</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Dashboard en producción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Captura de Vercel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Despliegue / UI</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Disponible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Repositorio GitHub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Ramas, commits y archivos modificados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Trazabilidad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Disponible</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Entorno local Docker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docker compose / contenedores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Infraestructura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Disponible / capturar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Conexión FastAPI - PostgreSQL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Ejecución del backend / logs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Integración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Capturar</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RoPA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Captura de flujo funcional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Módulo Ley 21.719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Pendiente anexar</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Consentimientos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Captura de flujo funcional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Módulo Ley 21.719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Pendiente anexar</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ARCO+P</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Captura de flujo funcional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Módulo Ley 21.719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Pendiente anexar</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E09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Brechas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Captura de flujo funcional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Módulo Ley 21.719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Pendiente anexar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Superadministración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Captura panel empresas/usuarios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Multi-tenant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Pendiente anexar</w:t>
            </w:r>
          </w:p>
        </w:tc>
      </w:tr>
      <w:tr>
        <w:trPr>
          <w:cantSplit w:val="0"/>
          <w:trHeight w:val="2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Diagramas 4+1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Figuras 1 a 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Arquitectura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Incluido</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E12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QA</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Casos y resultados consolidados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Calidad de software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center"/>
          </w:tcPr>
          <w:p w:rsidR="00000000" w:rsidDel="00000000" w:rsidP="00000000" w:rsidRDefault="00000000" w:rsidRPr="00000000" w14:paraId="000001D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Calibri" w:cs="Calibri" w:eastAsia="Calibri" w:hAnsi="Calibri"/>
              </w:rPr>
            </w:pPr>
            <w:r w:rsidDel="00000000" w:rsidR="00000000" w:rsidRPr="00000000">
              <w:rPr>
                <w:rFonts w:ascii="Calibri" w:cs="Calibri" w:eastAsia="Calibri" w:hAnsi="Calibri"/>
                <w:rtl w:val="0"/>
              </w:rPr>
              <w:t xml:space="preserve">En curso</w:t>
            </w:r>
          </w:p>
        </w:tc>
      </w:tr>
    </w:tbl>
    <w:p w:rsidR="00000000" w:rsidDel="00000000" w:rsidP="00000000" w:rsidRDefault="00000000" w:rsidRPr="00000000" w14:paraId="000001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D">
      <w:pPr>
        <w:rPr>
          <w:rFonts w:ascii="Calibri" w:cs="Calibri" w:eastAsia="Calibri" w:hAnsi="Calibri"/>
        </w:rPr>
      </w:pPr>
      <w:r w:rsidDel="00000000" w:rsidR="00000000" w:rsidRPr="00000000">
        <w:rPr>
          <w:rtl w:val="0"/>
        </w:rPr>
      </w:r>
    </w:p>
    <w:p w:rsidR="00000000" w:rsidDel="00000000" w:rsidP="00000000" w:rsidRDefault="00000000" w:rsidRPr="00000000" w14:paraId="000001DE">
      <w:pPr>
        <w:rPr>
          <w:rFonts w:ascii="Calibri" w:cs="Calibri" w:eastAsia="Calibri" w:hAnsi="Calibri"/>
        </w:rPr>
      </w:pPr>
      <w:r w:rsidDel="00000000" w:rsidR="00000000" w:rsidRPr="00000000">
        <w:rPr>
          <w:rtl w:val="0"/>
        </w:rPr>
      </w:r>
    </w:p>
    <w:p w:rsidR="00000000" w:rsidDel="00000000" w:rsidP="00000000" w:rsidRDefault="00000000" w:rsidRPr="00000000" w14:paraId="000001DF">
      <w:pPr>
        <w:rPr>
          <w:rFonts w:ascii="Calibri" w:cs="Calibri" w:eastAsia="Calibri" w:hAnsi="Calibri"/>
        </w:rPr>
      </w:pPr>
      <w:r w:rsidDel="00000000" w:rsidR="00000000" w:rsidRPr="00000000">
        <w:rPr>
          <w:rtl w:val="0"/>
        </w:rPr>
      </w:r>
    </w:p>
    <w:p w:rsidR="00000000" w:rsidDel="00000000" w:rsidP="00000000" w:rsidRDefault="00000000" w:rsidRPr="00000000" w14:paraId="000001E0">
      <w:pPr>
        <w:rPr>
          <w:rFonts w:ascii="Calibri" w:cs="Calibri" w:eastAsia="Calibri" w:hAnsi="Calibri"/>
        </w:rPr>
      </w:pPr>
      <w:r w:rsidDel="00000000" w:rsidR="00000000" w:rsidRPr="00000000">
        <w:rPr>
          <w:rtl w:val="0"/>
        </w:rPr>
      </w:r>
    </w:p>
    <w:p w:rsidR="00000000" w:rsidDel="00000000" w:rsidP="00000000" w:rsidRDefault="00000000" w:rsidRPr="00000000" w14:paraId="000001E1">
      <w:pPr>
        <w:rPr>
          <w:rFonts w:ascii="Calibri" w:cs="Calibri" w:eastAsia="Calibri" w:hAnsi="Calibri"/>
        </w:rPr>
      </w:pPr>
      <w:r w:rsidDel="00000000" w:rsidR="00000000" w:rsidRPr="00000000">
        <w:rPr>
          <w:rtl w:val="0"/>
        </w:rPr>
      </w:r>
    </w:p>
    <w:p w:rsidR="00000000" w:rsidDel="00000000" w:rsidP="00000000" w:rsidRDefault="00000000" w:rsidRPr="00000000" w14:paraId="000001E2">
      <w:pPr>
        <w:rPr>
          <w:rFonts w:ascii="Calibri" w:cs="Calibri" w:eastAsia="Calibri" w:hAnsi="Calibri"/>
        </w:rPr>
      </w:pPr>
      <w:r w:rsidDel="00000000" w:rsidR="00000000" w:rsidRPr="00000000">
        <w:rPr>
          <w:rtl w:val="0"/>
        </w:rPr>
      </w:r>
    </w:p>
    <w:p w:rsidR="00000000" w:rsidDel="00000000" w:rsidP="00000000" w:rsidRDefault="00000000" w:rsidRPr="00000000" w14:paraId="000001E3">
      <w:pPr>
        <w:rPr>
          <w:rFonts w:ascii="Calibri" w:cs="Calibri" w:eastAsia="Calibri" w:hAnsi="Calibri"/>
        </w:rPr>
      </w:pPr>
      <w:r w:rsidDel="00000000" w:rsidR="00000000" w:rsidRPr="00000000">
        <w:rPr>
          <w:rtl w:val="0"/>
        </w:rPr>
      </w:r>
    </w:p>
    <w:p w:rsidR="00000000" w:rsidDel="00000000" w:rsidP="00000000" w:rsidRDefault="00000000" w:rsidRPr="00000000" w14:paraId="000001E4">
      <w:pPr>
        <w:rPr>
          <w:rFonts w:ascii="Calibri" w:cs="Calibri" w:eastAsia="Calibri" w:hAnsi="Calibri"/>
        </w:rPr>
      </w:pPr>
      <w:r w:rsidDel="00000000" w:rsidR="00000000" w:rsidRPr="00000000">
        <w:rPr>
          <w:rtl w:val="0"/>
        </w:rPr>
      </w:r>
    </w:p>
    <w:p w:rsidR="00000000" w:rsidDel="00000000" w:rsidP="00000000" w:rsidRDefault="00000000" w:rsidRPr="00000000" w14:paraId="000001E5">
      <w:pPr>
        <w:rPr>
          <w:rFonts w:ascii="Calibri" w:cs="Calibri" w:eastAsia="Calibri" w:hAnsi="Calibri"/>
        </w:rPr>
      </w:pPr>
      <w:r w:rsidDel="00000000" w:rsidR="00000000" w:rsidRPr="00000000">
        <w:rPr>
          <w:rtl w:val="0"/>
        </w:rPr>
      </w:r>
    </w:p>
    <w:p w:rsidR="00000000" w:rsidDel="00000000" w:rsidP="00000000" w:rsidRDefault="00000000" w:rsidRPr="00000000" w14:paraId="000001E6">
      <w:pPr>
        <w:rPr>
          <w:rFonts w:ascii="Calibri" w:cs="Calibri" w:eastAsia="Calibri" w:hAnsi="Calibri"/>
        </w:rPr>
      </w:pPr>
      <w:r w:rsidDel="00000000" w:rsidR="00000000" w:rsidRPr="00000000">
        <w:rPr>
          <w:rtl w:val="0"/>
        </w:rPr>
      </w:r>
    </w:p>
    <w:p w:rsidR="00000000" w:rsidDel="00000000" w:rsidP="00000000" w:rsidRDefault="00000000" w:rsidRPr="00000000" w14:paraId="000001E7">
      <w:pPr>
        <w:rPr>
          <w:rFonts w:ascii="Calibri" w:cs="Calibri" w:eastAsia="Calibri" w:hAnsi="Calibri"/>
        </w:rPr>
      </w:pPr>
      <w:r w:rsidDel="00000000" w:rsidR="00000000" w:rsidRPr="00000000">
        <w:rPr>
          <w:rtl w:val="0"/>
        </w:rPr>
      </w:r>
    </w:p>
    <w:p w:rsidR="00000000" w:rsidDel="00000000" w:rsidP="00000000" w:rsidRDefault="00000000" w:rsidRPr="00000000" w14:paraId="000001E8">
      <w:pPr>
        <w:rPr>
          <w:rFonts w:ascii="Calibri" w:cs="Calibri" w:eastAsia="Calibri" w:hAnsi="Calibri"/>
        </w:rPr>
      </w:pPr>
      <w:r w:rsidDel="00000000" w:rsidR="00000000" w:rsidRPr="00000000">
        <w:rPr>
          <w:rtl w:val="0"/>
        </w:rPr>
      </w:r>
    </w:p>
    <w:p w:rsidR="00000000" w:rsidDel="00000000" w:rsidP="00000000" w:rsidRDefault="00000000" w:rsidRPr="00000000" w14:paraId="000001E9">
      <w:pPr>
        <w:pStyle w:val="Heading1"/>
        <w:rPr>
          <w:rFonts w:ascii="Calibri" w:cs="Calibri" w:eastAsia="Calibri" w:hAnsi="Calibri"/>
          <w:sz w:val="30"/>
          <w:szCs w:val="30"/>
        </w:rPr>
      </w:pPr>
      <w:bookmarkStart w:colFirst="0" w:colLast="0" w:name="_2oid2xoihw6r" w:id="39"/>
      <w:bookmarkEnd w:id="39"/>
      <w:r w:rsidDel="00000000" w:rsidR="00000000" w:rsidRPr="00000000">
        <w:rPr>
          <w:rFonts w:ascii="Calibri" w:cs="Calibri" w:eastAsia="Calibri" w:hAnsi="Calibri"/>
          <w:sz w:val="32"/>
          <w:szCs w:val="32"/>
          <w:rtl w:val="0"/>
        </w:rPr>
        <w:t xml:space="preserve">12. Conclusión y anexos</w:t>
      </w:r>
      <w:r w:rsidDel="00000000" w:rsidR="00000000" w:rsidRPr="00000000">
        <w:rPr>
          <w:rtl w:val="0"/>
        </w:rPr>
      </w:r>
    </w:p>
    <w:p w:rsidR="00000000" w:rsidDel="00000000" w:rsidP="00000000" w:rsidRDefault="00000000" w:rsidRPr="00000000" w14:paraId="000001EA">
      <w:pPr>
        <w:pStyle w:val="Heading2"/>
        <w:rPr>
          <w:rFonts w:ascii="Calibri" w:cs="Calibri" w:eastAsia="Calibri" w:hAnsi="Calibri"/>
          <w:sz w:val="28"/>
          <w:szCs w:val="28"/>
        </w:rPr>
      </w:pPr>
      <w:bookmarkStart w:colFirst="0" w:colLast="0" w:name="_xq6aw4mzsoab" w:id="40"/>
      <w:bookmarkEnd w:id="40"/>
      <w:r w:rsidDel="00000000" w:rsidR="00000000" w:rsidRPr="00000000">
        <w:rPr>
          <w:rFonts w:ascii="Calibri" w:cs="Calibri" w:eastAsia="Calibri" w:hAnsi="Calibri"/>
          <w:sz w:val="28"/>
          <w:szCs w:val="28"/>
          <w:rtl w:val="0"/>
        </w:rPr>
        <w:t xml:space="preserve">12.1 Conclusión</w:t>
      </w:r>
    </w:p>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La Fase 2 de NormIA representó un desafío considerable para el equipo. Durante su desarrollo surgieron dificultades que no estaban contempladas en la planificación inicial: funcionalidades que se asumían terminadas y que debieron construirse desde cero, como el banco de preguntas para ISO 27001 y la Ley N° 21.719; un rediseño de la interfaz para que el usuario pudiera comprender y seguir el flujo de la plataforma; y las limitaciones de los planes gratuitos de Vercel y Render, que permitían el acceso de un solo integrante y retrasaron la detección y corrección de errores en producción.</w:t>
      </w:r>
    </w:p>
    <w:p w:rsidR="00000000" w:rsidDel="00000000" w:rsidP="00000000" w:rsidRDefault="00000000" w:rsidRPr="00000000" w14:paraId="000001EC">
      <w:pPr>
        <w:rPr>
          <w:rFonts w:ascii="Calibri" w:cs="Calibri" w:eastAsia="Calibri" w:hAnsi="Calibri"/>
        </w:rPr>
      </w:pPr>
      <w:r w:rsidDel="00000000" w:rsidR="00000000" w:rsidRPr="00000000">
        <w:rPr>
          <w:rtl w:val="0"/>
        </w:rPr>
      </w:r>
    </w:p>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Lejos de detener el avance, estas complicaciones obligaron al equipo a reorganizar prioridades, redistribuir tareas y tomar decisiones técnicas con información incompleta, tal como ocurre en los proyectos reales de la industria. Trabajar sobre una plataforma existente exigió comprender una arquitectura ajena antes de modificarla, integrar servicios de inteligencia artificial, diseñar la persistencia para nuevos requerimientos legales y mantener la trazabilidad del trabajo mediante Git.</w:t>
      </w:r>
    </w:p>
    <w:p w:rsidR="00000000" w:rsidDel="00000000" w:rsidP="00000000" w:rsidRDefault="00000000" w:rsidRPr="00000000" w14:paraId="000001EE">
      <w:pPr>
        <w:rPr>
          <w:rFonts w:ascii="Calibri" w:cs="Calibri" w:eastAsia="Calibri" w:hAnsi="Calibri"/>
        </w:rPr>
      </w:pPr>
      <w:r w:rsidDel="00000000" w:rsidR="00000000" w:rsidRPr="00000000">
        <w:rPr>
          <w:rtl w:val="0"/>
        </w:rPr>
      </w:r>
    </w:p>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En consecuencia, más allá del producto obtenido, esta fase constituyó una experiencia formativa de gran valor para nuestra preparación profesional. Nos permitió fortalecer competencias técnicas en desarrollo web, bases de datos, integración de IA y seguridad de la información, y también habilidades transversales como la comunicación, la adaptación al cambio y la resolución de problemas bajo presión. NormIA refleja no solo lo que construimos, sino también la forma en que aprendimos a enfrentar los obstáculos como equipo: una lección que, sin duda, llevaremos con nosotros a nuestra vida profesional.</w:t>
      </w:r>
    </w:p>
    <w:p w:rsidR="00000000" w:rsidDel="00000000" w:rsidP="00000000" w:rsidRDefault="00000000" w:rsidRPr="00000000" w14:paraId="000001F0">
      <w:pPr>
        <w:pStyle w:val="Heading2"/>
        <w:rPr>
          <w:rFonts w:ascii="Calibri" w:cs="Calibri" w:eastAsia="Calibri" w:hAnsi="Calibri"/>
          <w:sz w:val="28"/>
          <w:szCs w:val="28"/>
        </w:rPr>
      </w:pPr>
      <w:bookmarkStart w:colFirst="0" w:colLast="0" w:name="_56we8cqc8ife" w:id="41"/>
      <w:bookmarkEnd w:id="41"/>
      <w:r w:rsidDel="00000000" w:rsidR="00000000" w:rsidRPr="00000000">
        <w:rPr>
          <w:rFonts w:ascii="Calibri" w:cs="Calibri" w:eastAsia="Calibri" w:hAnsi="Calibri"/>
          <w:sz w:val="28"/>
          <w:szCs w:val="28"/>
          <w:rtl w:val="0"/>
        </w:rPr>
        <w:t xml:space="preserve">12.2 Anexos</w:t>
      </w:r>
    </w:p>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A continuación se listan los materiales complementarios que respaldan el contenido de este informe:</w:t>
      </w:r>
    </w:p>
    <w:p w:rsidR="00000000" w:rsidDel="00000000" w:rsidP="00000000" w:rsidRDefault="00000000" w:rsidRPr="00000000" w14:paraId="000001F2">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Anexo A: Repositorio del proyecto en GitHub: https://github.com/DiegoBenavidesA/Dani-ISO27001</w:t>
      </w:r>
    </w:p>
    <w:p w:rsidR="00000000" w:rsidDel="00000000" w:rsidP="00000000" w:rsidRDefault="00000000" w:rsidRPr="00000000" w14:paraId="000001F3">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Anexo B: Capturas de la plataforma desplegada (Landing Page y Dashboard en Vercel).</w:t>
      </w:r>
    </w:p>
    <w:p w:rsidR="00000000" w:rsidDel="00000000" w:rsidP="00000000" w:rsidRDefault="00000000" w:rsidRPr="00000000" w14:paraId="000001F4">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743200"/>
            <wp:effectExtent b="0" l="0" r="0" t="0"/>
            <wp:docPr id="15" name="image11.png"/>
            <a:graphic>
              <a:graphicData uri="http://schemas.openxmlformats.org/drawingml/2006/picture">
                <pic:pic>
                  <pic:nvPicPr>
                    <pic:cNvPr id="0" name="image11.png"/>
                    <pic:cNvPicPr preferRelativeResize="0"/>
                  </pic:nvPicPr>
                  <pic:blipFill>
                    <a:blip r:embed="rId25"/>
                    <a:srcRect b="0" l="0" r="0" t="1706"/>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908300"/>
            <wp:effectExtent b="0" l="0" r="0" t="0"/>
            <wp:docPr id="29"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Bdr>
          <w:top w:color="000000" w:space="0" w:sz="0" w:val="none"/>
          <w:left w:color="000000" w:space="-18" w:sz="0" w:val="none"/>
          <w:bottom w:color="000000" w:space="0" w:sz="0" w:val="none"/>
          <w:right w:color="000000" w:space="0" w:sz="0" w:val="none"/>
          <w:between w:color="000000" w:space="0" w:sz="0" w:val="none"/>
        </w:pBdr>
        <w:shd w:fill="ffffff" w:val="clear"/>
        <w:spacing w:after="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832100"/>
            <wp:effectExtent b="0" l="0" r="0" t="0"/>
            <wp:docPr id="1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Anexo C: Capturas del entorno local con Docker Compose (PostgreSQL/pgvector y Redis).</w:t>
      </w:r>
    </w:p>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05200"/>
            <wp:effectExtent b="0" l="0" r="0" t="0"/>
            <wp:docPr id="4"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556000"/>
            <wp:effectExtent b="0" l="0" r="0" t="0"/>
            <wp:docPr id="1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Anexo D: Capturas de los módulos de la Ley N° 21.719 (RoPA, Consentimientos, ARCO+P y Brechas).</w:t>
      </w:r>
    </w:p>
    <w:p w:rsidR="00000000" w:rsidDel="00000000" w:rsidP="00000000" w:rsidRDefault="00000000" w:rsidRPr="00000000" w14:paraId="000001FB">
      <w:pPr>
        <w:pStyle w:val="Heading2"/>
        <w:rPr>
          <w:rFonts w:ascii="Calibri" w:cs="Calibri" w:eastAsia="Calibri" w:hAnsi="Calibri"/>
        </w:rPr>
      </w:pPr>
      <w:bookmarkStart w:colFirst="0" w:colLast="0" w:name="_1iejv3oyyh4s" w:id="42"/>
      <w:bookmarkEnd w:id="42"/>
      <w:r w:rsidDel="00000000" w:rsidR="00000000" w:rsidRPr="00000000">
        <w:rPr>
          <w:rFonts w:ascii="Calibri" w:cs="Calibri" w:eastAsia="Calibri" w:hAnsi="Calibri"/>
          <w:sz w:val="28"/>
          <w:szCs w:val="28"/>
        </w:rPr>
        <w:drawing>
          <wp:inline distB="114300" distT="114300" distL="114300" distR="114300">
            <wp:extent cx="3067050" cy="3686175"/>
            <wp:effectExtent b="0" l="0" r="0" t="0"/>
            <wp:docPr id="2"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306705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numPr>
          <w:ilvl w:val="0"/>
          <w:numId w:val="6"/>
        </w:numPr>
        <w:ind w:left="720" w:hanging="360"/>
        <w:rPr>
          <w:rFonts w:ascii="Calibri" w:cs="Calibri" w:eastAsia="Calibri" w:hAnsi="Calibri"/>
        </w:rPr>
      </w:pPr>
      <w:r w:rsidDel="00000000" w:rsidR="00000000" w:rsidRPr="00000000">
        <w:rPr>
          <w:rFonts w:ascii="Calibri" w:cs="Calibri" w:eastAsia="Calibri" w:hAnsi="Calibri"/>
          <w:rtl w:val="0"/>
        </w:rPr>
        <w:t xml:space="preserve">Anexo E: Capturas de la consola de superadministración (empresas y usuarios).</w:t>
      </w:r>
    </w:p>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828800"/>
            <wp:effectExtent b="0" l="0" r="0" t="0"/>
            <wp:docPr id="7"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2286000"/>
            <wp:effectExtent b="0" l="0" r="0" t="0"/>
            <wp:docPr id="26"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0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rtl w:val="0"/>
        </w:rPr>
        <w:t xml:space="preserve">Anexo F: Documentación de la API REST (endpoints del Back-End en FastAPI/Swagger).</w:t>
      </w:r>
    </w:p>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600700" cy="3843338"/>
            <wp:effectExtent b="0" l="0" r="0" t="0"/>
            <wp:docPr id="27" name="image16.png"/>
            <a:graphic>
              <a:graphicData uri="http://schemas.openxmlformats.org/drawingml/2006/picture">
                <pic:pic>
                  <pic:nvPicPr>
                    <pic:cNvPr id="0" name="image16.png"/>
                    <pic:cNvPicPr preferRelativeResize="0"/>
                  </pic:nvPicPr>
                  <pic:blipFill>
                    <a:blip r:embed="rId33"/>
                    <a:srcRect b="0" l="0" r="2326" t="14844"/>
                    <a:stretch>
                      <a:fillRect/>
                    </a:stretch>
                  </pic:blipFill>
                  <pic:spPr>
                    <a:xfrm>
                      <a:off x="0" y="0"/>
                      <a:ext cx="5600700" cy="3843338"/>
                    </a:xfrm>
                    <a:prstGeom prst="rect"/>
                    <a:ln/>
                  </pic:spPr>
                </pic:pic>
              </a:graphicData>
            </a:graphic>
          </wp:inline>
        </w:drawing>
      </w:r>
      <w:r w:rsidDel="00000000" w:rsidR="00000000" w:rsidRPr="00000000">
        <w:rPr>
          <w:rtl w:val="0"/>
        </w:rPr>
      </w:r>
    </w:p>
    <w:sectPr>
      <w:headerReference r:id="rId3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spacing w:after="160" w:line="259" w:lineRule="auto"/>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4391025</wp:posOffset>
          </wp:positionH>
          <wp:positionV relativeFrom="paragraph">
            <wp:posOffset>-228599</wp:posOffset>
          </wp:positionV>
          <wp:extent cx="1996440" cy="428625"/>
          <wp:effectExtent b="0" l="0" r="0" t="0"/>
          <wp:wrapNone/>
          <wp:docPr descr="http://www.duoc.cl/normasgraficas/normasgraficas/marca-duoc/6logo-fondo-transparente/fondo-transparente.png" id="5"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image" Target="media/image22.jpg"/><Relationship Id="rId22" Type="http://schemas.openxmlformats.org/officeDocument/2006/relationships/image" Target="media/image25.jpg"/><Relationship Id="rId21" Type="http://schemas.openxmlformats.org/officeDocument/2006/relationships/image" Target="media/image20.jpg"/><Relationship Id="rId24" Type="http://schemas.openxmlformats.org/officeDocument/2006/relationships/image" Target="media/image23.jpg"/><Relationship Id="rId23" Type="http://schemas.openxmlformats.org/officeDocument/2006/relationships/image" Target="media/image2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7.png"/><Relationship Id="rId25" Type="http://schemas.openxmlformats.org/officeDocument/2006/relationships/image" Target="media/image11.png"/><Relationship Id="rId28" Type="http://schemas.openxmlformats.org/officeDocument/2006/relationships/image" Target="media/image12.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8.png"/><Relationship Id="rId7" Type="http://schemas.openxmlformats.org/officeDocument/2006/relationships/image" Target="media/image18.png"/><Relationship Id="rId8" Type="http://schemas.openxmlformats.org/officeDocument/2006/relationships/image" Target="media/image6.png"/><Relationship Id="rId31" Type="http://schemas.openxmlformats.org/officeDocument/2006/relationships/image" Target="media/image7.png"/><Relationship Id="rId30" Type="http://schemas.openxmlformats.org/officeDocument/2006/relationships/image" Target="media/image4.png"/><Relationship Id="rId11" Type="http://schemas.openxmlformats.org/officeDocument/2006/relationships/image" Target="media/image1.png"/><Relationship Id="rId33" Type="http://schemas.openxmlformats.org/officeDocument/2006/relationships/image" Target="media/image16.png"/><Relationship Id="rId10" Type="http://schemas.openxmlformats.org/officeDocument/2006/relationships/image" Target="media/image15.png"/><Relationship Id="rId32"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14.png"/><Relationship Id="rId34" Type="http://schemas.openxmlformats.org/officeDocument/2006/relationships/header" Target="header1.xml"/><Relationship Id="rId15" Type="http://schemas.openxmlformats.org/officeDocument/2006/relationships/image" Target="media/image24.jpg"/><Relationship Id="rId14" Type="http://schemas.openxmlformats.org/officeDocument/2006/relationships/image" Target="media/image3.png"/><Relationship Id="rId17" Type="http://schemas.openxmlformats.org/officeDocument/2006/relationships/image" Target="media/image29.jpg"/><Relationship Id="rId16" Type="http://schemas.openxmlformats.org/officeDocument/2006/relationships/image" Target="media/image27.jpg"/><Relationship Id="rId19" Type="http://schemas.openxmlformats.org/officeDocument/2006/relationships/image" Target="media/image21.jpg"/><Relationship Id="rId18" Type="http://schemas.openxmlformats.org/officeDocument/2006/relationships/image" Target="media/image19.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