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3E2"/>
          <w:sz w:val="52"/>
        </w:rPr>
        <w:t>GUÍA DE PREPARACIÓN</w:t>
      </w:r>
    </w:p>
    <w:p>
      <w:pPr>
        <w:jc w:val="center"/>
      </w:pPr>
      <w:r>
        <w:rPr>
          <w:color w:val="74767C"/>
          <w:sz w:val="28"/>
        </w:rPr>
        <w:t>Exposición de Prueba Técnica — Data Analyst</w:t>
      </w:r>
    </w:p>
    <w:p>
      <w:pPr>
        <w:jc w:val="center"/>
      </w:pPr>
      <w:r>
        <w:rPr>
          <w:color w:val="74767C"/>
          <w:sz w:val="22"/>
        </w:rPr>
        <w:t>Diego Alberto Calderón Calderón  |  Abril 2026</w:t>
      </w:r>
    </w:p>
    <w:p/>
    <w:p>
      <w:pPr>
        <w:spacing w:after="40"/>
      </w:pPr>
      <w:r>
        <w:rPr>
          <w:color w:val="CCCCCC"/>
          <w:sz w:val="16"/>
        </w:rPr>
        <w:t>────────────────────────────────────────────────────────────────────────────────</w:t>
      </w:r>
    </w:p>
    <w:p/>
    <w:p>
      <w:pPr>
        <w:spacing w:after="80"/>
      </w:pPr>
      <w:r>
        <w:rPr>
          <w:b w:val="0"/>
          <w:color w:val="1A1A2E"/>
          <w:sz w:val="22"/>
        </w:rPr>
        <w:t>Este documento reúne dos cosas: (1) las preguntas más probables que te van a hacer en la defensa de la prueba técnica, con las respuestas exactas que debes dar; y (2) los cambios concretos que debes hacer al entregable para que el trabajo se vea más orgánico y menos generado por IA.</w:t>
      </w:r>
    </w:p>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053E2"/>
          </w:tcPr>
          <w:p>
            <w:pPr>
              <w:jc w:val="center"/>
            </w:pPr>
            <w:r>
              <w:rPr>
                <w:b/>
                <w:color w:val="FFFFFF"/>
                <w:sz w:val="26"/>
              </w:rPr>
              <w:t xml:space="preserve">  PARTE 1 — QUÉ APRENDERTE PARA LA EXPOSICIÓN  </w:t>
            </w:r>
          </w:p>
        </w:tc>
      </w:tr>
    </w:tbl>
    <w:p>
      <w:pPr>
        <w:spacing w:after="20"/>
      </w:pPr>
    </w:p>
    <w:p/>
    <w:p>
      <w:pPr>
        <w:spacing w:after="80"/>
      </w:pPr>
      <w:r>
        <w:rPr>
          <w:b w:val="0"/>
          <w:color w:val="1A1A2E"/>
          <w:sz w:val="21"/>
        </w:rPr>
        <w:t>El evaluador no te va a preguntar si el código corre — va a profundizar en tus decisiones. Aquí están las preguntas exactas por bloque y cómo responderlas.</w:t>
      </w:r>
    </w:p>
    <w:p/>
    <w:p>
      <w:pPr>
        <w:pStyle w:val="Heading2"/>
        <w:jc w:val="left"/>
      </w:pPr>
      <w:r>
        <w:rPr>
          <w:b/>
          <w:color w:val="0053E2"/>
        </w:rPr>
        <w:t>🧪 A/B Test — Bloque 3 (25% del peso — El más importante)</w:t>
      </w:r>
    </w:p>
    <w:p>
      <w:pPr>
        <w:spacing w:after="80"/>
      </w:pPr>
      <w:r>
        <w:rPr>
          <w:b w:val="0"/>
          <w:color w:val="1A1A2E"/>
          <w:sz w:val="20"/>
        </w:rPr>
        <w:t>Este bloque tiene el mayor peso. El resultado fue negativo y no significativo — eso es lo más interesante y lo que más te van a preguntar.</w:t>
      </w:r>
    </w:p>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¿Por qué usaste un Welch t-test y no un t-test estándar?</w:t>
            </w:r>
          </w:p>
        </w:tc>
      </w:tr>
      <w:tr>
        <w:tc>
          <w:tcPr>
            <w:tcW w:type="dxa" w:w="9406"/>
            <w:shd w:val="clear" w:color="auto" w:fill="E8F0FD"/>
          </w:tcPr>
          <w:p>
            <w:r>
              <w:rPr>
                <w:color w:val="1A1A2E"/>
                <w:sz w:val="20"/>
              </w:rPr>
              <w:t>✅ Porque el Welch t-test no asume varianzas iguales entre los grupos CONTROL y TREATMENT. Cuando los grupos tienen tamaños o varianzas distintas — como en este caso con 18 vs 20 tiendas — el Welch es más robusto y conservador. El t-test estándar inflaría el poder estadístico incorrectamente.</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¿Qué significa exactamente un p-value de 0.24?</w:t>
            </w:r>
          </w:p>
        </w:tc>
      </w:tr>
      <w:tr>
        <w:tc>
          <w:tcPr>
            <w:tcW w:type="dxa" w:w="9406"/>
            <w:shd w:val="clear" w:color="auto" w:fill="E8F0FD"/>
          </w:tcPr>
          <w:p>
            <w:r>
              <w:rPr>
                <w:color w:val="1A1A2E"/>
                <w:sz w:val="20"/>
              </w:rPr>
              <w:t>✅ Significa que si no hubiera ningún efecto real del tratamiento, observaríamos una diferencia tan grande como la que vimos el 24% de las veces solo por azar. NO significa que hay un 24% de probabilidad de que la hipótesis sea falsa. Como convención usamos p &lt; 0.05 para rechazar la hipótesis nula — con p=0.24 no tenemos evidencia suficiente.</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¿El tratamiento empeoró las ventas? El lift fue -16.92%...</w:t>
            </w:r>
          </w:p>
        </w:tc>
      </w:tr>
      <w:tr>
        <w:tc>
          <w:tcPr>
            <w:tcW w:type="dxa" w:w="9406"/>
            <w:shd w:val="clear" w:color="auto" w:fill="E8F0FD"/>
          </w:tcPr>
          <w:p>
            <w:r>
              <w:rPr>
                <w:color w:val="1A1A2E"/>
                <w:sz w:val="20"/>
              </w:rPr>
              <w:t>✅ El lift negativo es preocupante pero NO es concluyente. El intervalo de confianza al 95% va de -$6,476 a +$1,586 — ese rango incluye el cero, lo que significa que la diferencia es estadísticamente compatible con cero. No podemos afirmar que el tratamiento empeoró las ventas, pero tampoco que las mejoró. La decisión correcta es no implementar.</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¿Qué harías si el p-value fuera 0.08?</w:t>
            </w:r>
          </w:p>
        </w:tc>
      </w:tr>
      <w:tr>
        <w:tc>
          <w:tcPr>
            <w:tcW w:type="dxa" w:w="9406"/>
            <w:shd w:val="clear" w:color="auto" w:fill="E8F0FD"/>
          </w:tcPr>
          <w:p>
            <w:r>
              <w:rPr>
                <w:color w:val="1A1A2E"/>
                <w:sz w:val="20"/>
              </w:rPr>
              <w:t>✅ No implementaría. Extendería el test 4 semanas adicionales para aumentar el poder estadístico. Un p=0.08 con lift NEGATIVO es incluso más preocupante que p=0.24 — estamos rozando la significancia en la dirección equivocada. Con más datos confirmaríamos si el efecto negativo es real. Solo implementaría si el lift fuera positivo Y el p-value bajara de 0.05 con el test extendido.</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¿Los grupos CONTROL y TREATMENT eran comparables antes del test?</w:t>
            </w:r>
          </w:p>
        </w:tc>
      </w:tr>
      <w:tr>
        <w:tc>
          <w:tcPr>
            <w:tcW w:type="dxa" w:w="9406"/>
            <w:shd w:val="clear" w:color="auto" w:fill="E8F0FD"/>
          </w:tcPr>
          <w:p>
            <w:r>
              <w:rPr>
                <w:color w:val="1A1A2E"/>
                <w:sz w:val="20"/>
              </w:rPr>
              <w:t>✅ Excluí TIENDA_008 y TIENDA_037 porque estaban asignadas a ambos grupos — eso invalida su inclusión. Con las 38 tiendas restantes, los grupos son comparables en tamaño (18 vs 20). Idealmente habría verificado balance en GMV pre-test, formato y m² mediante un test de Mann-Whitney antes de arrancar el experimento. Eso es una limitación que documenté.</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¿Cuántas tiendas necesitarías para un experimento válido?</w:t>
            </w:r>
          </w:p>
        </w:tc>
      </w:tr>
      <w:tr>
        <w:tc>
          <w:tcPr>
            <w:tcW w:type="dxa" w:w="9406"/>
            <w:shd w:val="clear" w:color="auto" w:fill="E8F0FD"/>
          </w:tcPr>
          <w:p>
            <w:r>
              <w:rPr>
                <w:color w:val="1A1A2E"/>
                <w:sz w:val="20"/>
              </w:rPr>
              <w:t>✅ Depende del poder estadístico deseado (normalmente 80%) y del Minimum Detectable Effect (MDE). Si queremos detectar un lift del 10% con poder del 80%, necesitaríamos calcular el sample size con la varianza observada. Con solo 40 tiendas y alta variabilidad inter-tienda, 6 semanas puede ser insuficiente. Lo ideal sería un análisis de poder ANTES de correr el experimento.</w:t>
            </w:r>
          </w:p>
        </w:tc>
      </w:tr>
    </w:tbl>
    <w:p>
      <w:pPr>
        <w:spacing w:after="40"/>
      </w:pPr>
    </w:p>
    <w:p/>
    <w:p>
      <w:pPr>
        <w:pStyle w:val="Heading2"/>
        <w:jc w:val="left"/>
      </w:pPr>
      <w:r>
        <w:rPr>
          <w:b/>
          <w:color w:val="0053E2"/>
        </w:rPr>
        <w:t>🧱 SQL Avanzado — Bloque 1 (20% del peso)</w:t>
      </w:r>
    </w:p>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¿Qué es una CTE y por qué la usaste en vez de subqueries?</w:t>
            </w:r>
          </w:p>
        </w:tc>
      </w:tr>
      <w:tr>
        <w:tc>
          <w:tcPr>
            <w:tcW w:type="dxa" w:w="9406"/>
            <w:shd w:val="clear" w:color="auto" w:fill="E8F0FD"/>
          </w:tcPr>
          <w:p>
            <w:r>
              <w:rPr>
                <w:color w:val="1A1A2E"/>
                <w:sz w:val="20"/>
              </w:rPr>
              <w:t>✅ CTE (Common Table Expression) es una tabla temporal nombrada que existe solo durante la ejecución de la query. La uso porque: (1) hace el código legible — cada CTE tiene un nombre que explica su propósito; (2) permite reutilizar el mismo resultado sin recalcularlo; (3) BigQuery puede materializarlas para mejorar rendimiento. Una subquery anidada hace el mismo trabajo pero es mucho más difícil de leer y mantener.</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¿Cómo funciona PARTITION BY en la query de cohortes?</w:t>
            </w:r>
          </w:p>
        </w:tc>
      </w:tr>
      <w:tr>
        <w:tc>
          <w:tcPr>
            <w:tcW w:type="dxa" w:w="9406"/>
            <w:shd w:val="clear" w:color="auto" w:fill="E8F0FD"/>
          </w:tcPr>
          <w:p>
            <w:r>
              <w:rPr>
                <w:color w:val="1A1A2E"/>
                <w:sz w:val="20"/>
              </w:rPr>
              <w:t>✅ PARTITION BY divide el conjunto de datos en grupos para aplicar la función de ventana de forma independiente en cada grupo, SIN colapsar las filas como hace GROUP BY. En la query de cohortes, PARTITION BY cohorte_mes hace que el RANK() y los cálculos de retención se calculen por separado para cada cohorte, manteniendo todas las filas de detalle disponibles.</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¿Qué es el patrón islands &amp; gaps que usaste en la Query 5 de quiebres de stock?</w:t>
            </w:r>
          </w:p>
        </w:tc>
      </w:tr>
      <w:tr>
        <w:tc>
          <w:tcPr>
            <w:tcW w:type="dxa" w:w="9406"/>
            <w:shd w:val="clear" w:color="auto" w:fill="E8F0FD"/>
          </w:tcPr>
          <w:p>
            <w:r>
              <w:rPr>
                <w:color w:val="1A1A2E"/>
                <w:sz w:val="20"/>
              </w:rPr>
              <w:t>✅ Es una técnica clásica de SQL para detectar secuencias consecutivas. "'Islands'" son los bloques de datos continuos (días con venta) y "'gaps'" son los espacios entre ellos (días sin venta). El truco: usas LAG() para identificar cuándo la secuencia se rompe — si la diferencia entre una fecha y la anterior es &gt; 1 día, empieza un nuevo grupo. Luego usas SUM() acumulado para numerar cada grupo. Al final agrupas por ese número para obtener el inicio, fin y duración de cada gap.</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¿Por qué usas PERCENTILE_CONT en la Query 2?</w:t>
            </w:r>
          </w:p>
        </w:tc>
      </w:tr>
      <w:tr>
        <w:tc>
          <w:tcPr>
            <w:tcW w:type="dxa" w:w="9406"/>
            <w:shd w:val="clear" w:color="auto" w:fill="E8F0FD"/>
          </w:tcPr>
          <w:p>
            <w:r>
              <w:rPr>
                <w:color w:val="1A1A2E"/>
                <w:sz w:val="20"/>
              </w:rPr>
              <w:t>✅ Para calcular el percentil 25 de GMV/m² dentro de cada formato y marcar tiendas como BAJO_RENDIMIENTO. PERCENTILE_CONT hace interpolación lineal entre valores (resultado continuo), a diferencia de PERCENTILE_DISC que retorna un valor exacto del dataset. En retail prefiero CONT porque da un umbral más suave y menos sensible a valores extremos.</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¿Cómo garantizas que la Query 1 de Comp Sales no incluye tiendas nuevas?</w:t>
            </w:r>
          </w:p>
        </w:tc>
      </w:tr>
      <w:tr>
        <w:tc>
          <w:tcPr>
            <w:tcW w:type="dxa" w:w="9406"/>
            <w:shd w:val="clear" w:color="auto" w:fill="E8F0FD"/>
          </w:tcPr>
          <w:p>
            <w:r>
              <w:rPr>
                <w:color w:val="1A1A2E"/>
                <w:sz w:val="20"/>
              </w:rPr>
              <w:t>✅ Filtro en la CTE 'tiendas_comparables' con `opening_date &lt; '2024-01-01'`. Esto asegura que la tienda llevaba al menos 12 meses operando antes del período de comparación más antiguo que uso. Además filtro que la tienda tenga ventas en AMBOS períodos — si una tienda tuvo ventas en 2024 pero no en 2025 (o viceversa), no es una comparación válida.</w:t>
            </w:r>
          </w:p>
        </w:tc>
      </w:tr>
    </w:tbl>
    <w:p>
      <w:pPr>
        <w:spacing w:after="40"/>
      </w:pPr>
    </w:p>
    <w:p/>
    <w:p>
      <w:pPr>
        <w:pStyle w:val="Heading2"/>
        <w:jc w:val="left"/>
      </w:pPr>
      <w:r>
        <w:rPr>
          <w:b/>
          <w:color w:val="0053E2"/>
        </w:rPr>
        <w:t>📐 Modelado de Datos — Bloque 2 (15% del peso)</w:t>
      </w:r>
    </w:p>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¿Por qué granularidad a nivel de ítem y no de transacción?</w:t>
            </w:r>
          </w:p>
        </w:tc>
      </w:tr>
      <w:tr>
        <w:tc>
          <w:tcPr>
            <w:tcW w:type="dxa" w:w="9406"/>
            <w:shd w:val="clear" w:color="auto" w:fill="E8F0FD"/>
          </w:tcPr>
          <w:p>
            <w:r>
              <w:rPr>
                <w:color w:val="1A1A2E"/>
                <w:sz w:val="20"/>
              </w:rPr>
              <w:t>✅ Porque con granularidad de transacción perdería la capacidad de: calcular GMROI por SKU/proveedor, analizar basket uplift por producto, y detectar quiebres de stock por ítem. El nivel más atómico disponible es el ítem-transacción, y siempre es mejor agregar hacia arriba que perder detalle. En BigQuery el almacenamiento es columnar — una tabla con 542K filas no es un problema de rendimiento si está bien particionada por fecha.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¿Cómo modelaste que el 60% de transacciones no tiene customer_id?</w:t>
            </w:r>
          </w:p>
        </w:tc>
      </w:tr>
      <w:tr>
        <w:tc>
          <w:tcPr>
            <w:tcW w:type="dxa" w:w="9406"/>
            <w:shd w:val="clear" w:color="auto" w:fill="E8F0FD"/>
          </w:tcPr>
          <w:p>
            <w:r>
              <w:rPr>
                <w:color w:val="1A1A2E"/>
                <w:sz w:val="20"/>
              </w:rPr>
              <w:t>✅ Mantuve customer_id como NULLABLE en fact_sales y agregué un campo 'is_identified' booleano en dim_customer. La alternativa de crear un registro 'ANON' genérico contamina los análisis de cohortes. Con el campo nullable, todos los análisis de clientes filtran explícitamente WHERE is_identified = TRUE, haciendo la exclusión visible y auditableen el código.</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¿Qué es un SCD Tipo 1 y por qué lo usaste en dim_customer?</w:t>
            </w:r>
          </w:p>
        </w:tc>
      </w:tr>
      <w:tr>
        <w:tc>
          <w:tcPr>
            <w:tcW w:type="dxa" w:w="9406"/>
            <w:shd w:val="clear" w:color="auto" w:fill="E8F0FD"/>
          </w:tcPr>
          <w:p>
            <w:r>
              <w:rPr>
                <w:color w:val="1A1A2E"/>
                <w:sz w:val="20"/>
              </w:rPr>
              <w:t>✅ SCD = Slowly Changing Dimension. Tipo 1 significa que cuando un atributo cambia, sobreescribes el valor anterior sin guardar historial. Lo usé en dim_customer porque para análisis de cohortes solo necesito la fecha de primera transacción — no me interesa el historial de cambios del cliente. Si necesitara trackear cambios en el comportamiento del cliente a lo largo del tiempo, usaría SCD Tipo 2 con fechas de vigencia.</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Si dos reportes muestran GMV distinto para la misma tienda y día, ¿qué haces?</w:t>
            </w:r>
          </w:p>
        </w:tc>
      </w:tr>
      <w:tr>
        <w:tc>
          <w:tcPr>
            <w:tcW w:type="dxa" w:w="9406"/>
            <w:shd w:val="clear" w:color="auto" w:fill="E8F0FD"/>
          </w:tcPr>
          <w:p>
            <w:r>
              <w:rPr>
                <w:color w:val="1A1A2E"/>
                <w:sz w:val="20"/>
              </w:rPr>
              <w:t>✅ Proceso de 4 pasos: (1) Identifico las queries exactas de cada reporte — ¿usan la misma tabla? ¿el mismo filtro de status? ¿el mismo campo de GMV? (2) Comparo la definición de GMV — uno puede incluir devueltas y el otro no, o uno usa total_amount y el otro SUM(unit_price×quantity). (3) Verifico el filtro de fecha — las 2h de retraso de POS pueden crear diferencias si el corte es a medianoche exacta. (4) Documento la causa en el Glosario de Métricas y certifico una vista única como fuente de verdad para todos los reportes.</w:t>
            </w:r>
          </w:p>
        </w:tc>
      </w:tr>
    </w:tbl>
    <w:p>
      <w:pPr>
        <w:spacing w:after="40"/>
      </w:pPr>
    </w:p>
    <w:p/>
    <w:p>
      <w:pPr>
        <w:pStyle w:val="Heading2"/>
        <w:jc w:val="left"/>
      </w:pPr>
      <w:r>
        <w:rPr>
          <w:b/>
          <w:color w:val="0053E2"/>
        </w:rPr>
        <w:t>🎯 KPIs — Bloque 4 (10% del peso)</w:t>
      </w:r>
    </w:p>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¿Por qué el North Star es GMV/m² y no GMV absoluto?</w:t>
            </w:r>
          </w:p>
        </w:tc>
      </w:tr>
      <w:tr>
        <w:tc>
          <w:tcPr>
            <w:tcW w:type="dxa" w:w="9406"/>
            <w:shd w:val="clear" w:color="auto" w:fill="E8F0FD"/>
          </w:tcPr>
          <w:p>
            <w:r>
              <w:rPr>
                <w:color w:val="1A1A2E"/>
                <w:sz w:val="20"/>
              </w:rPr>
              <w:t>✅ Porque un Hipermercado de 8,000m² siempre va a tener más GMV que un Express de 400m² — comparar en absoluto es injusto. El GMV/m² normaliza por espacio y permite tres cosas clave: (1) comparar formatos distintos en la misma escala, (2) comparar tiendas de distintos países sin sesgo por tamaño, (3) es directamente accionable para el gerente — más ventas por el mismo espacio significa mejor surtido, menos quiebres, mejor exhibición. Es además la métrica que usan los analistas de Wall Street para evaluar retailers.</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¿Qué es un leading indicator y cuál pusiste?</w:t>
            </w:r>
          </w:p>
        </w:tc>
      </w:tr>
      <w:tr>
        <w:tc>
          <w:tcPr>
            <w:tcW w:type="dxa" w:w="9406"/>
            <w:shd w:val="clear" w:color="auto" w:fill="E8F0FD"/>
          </w:tcPr>
          <w:p>
            <w:r>
              <w:rPr>
                <w:color w:val="1A1A2E"/>
                <w:sz w:val="20"/>
              </w:rPr>
              <w:t>✅ Un leading indicator es predictivo — te dice lo que VA a pasar antes de que el resultado final se materialice. En mi framework usé la Tasa de Devolución (Return Rate) como leading indicator. Una devolución refleja insatisfacción ANTES de que el cliente decida no volver — si el Return Rate sube en una tienda, es probable que la retención caiga en el próximo mes. Esto permite intervención preventiva antes de perder clientes. Los KPIs de GMV y retención son lagging — te dicen lo que ya pasó.</w:t>
            </w:r>
          </w:p>
        </w:tc>
      </w:tr>
    </w:tbl>
    <w:p>
      <w:pPr>
        <w:spacing w:after="40"/>
      </w:pPr>
    </w:p>
    <w:tbl>
      <w:tblPr>
        <w:tblStyle w:val="TableGrid"/>
        <w:tblW w:type="auto" w:w="0"/>
        <w:jc w:val="left"/>
        <w:tblLook w:firstColumn="1" w:firstRow="1" w:lastColumn="0" w:lastRow="0" w:noHBand="0" w:noVBand="1" w:val="04A0"/>
      </w:tblPr>
      <w:tblGrid>
        <w:gridCol w:w="9406"/>
      </w:tblGrid>
      <w:tr>
        <w:tc>
          <w:tcPr>
            <w:tcW w:type="dxa" w:w="9406"/>
            <w:shd w:val="clear" w:color="auto" w:fill="0053E2"/>
            <w:vAlign w:val="center"/>
          </w:tcPr>
          <w:p>
            <w:r>
              <w:rPr>
                <w:b/>
                <w:color w:val="FFFFFF"/>
                <w:sz w:val="21"/>
              </w:rPr>
              <w:t>❓ ¿Cómo detectas si el dato de un KPI está mal?</w:t>
            </w:r>
          </w:p>
        </w:tc>
      </w:tr>
      <w:tr>
        <w:tc>
          <w:tcPr>
            <w:tcW w:type="dxa" w:w="9406"/>
            <w:shd w:val="clear" w:color="auto" w:fill="E8F0FD"/>
          </w:tcPr>
          <w:p>
            <w:r>
              <w:rPr>
                <w:color w:val="1A1A2E"/>
                <w:sz w:val="20"/>
              </w:rPr>
              <w:t>✅ Cada KPI tiene definida una regla de validación. Por ejemplo, para GMV/m²: si una tienda activa reporta 0, hay un gap de datos — no una tienda sin ventas. Para Return Rate: si una tienda tiene exactamente el mismo % durante 4 semanas consecutivas, posiblemente el campo dejó de actualizarse. La clave es definir umbrales de alerta basados en el comportamiento histórico, no en valores absolutos — una variación del 30% en una semana es normal en diciembre pero anómala en febrero.</w:t>
            </w:r>
          </w:p>
        </w:tc>
      </w:tr>
    </w:tbl>
    <w:p>
      <w:pPr>
        <w:spacing w:after="40"/>
      </w:pPr>
    </w:p>
    <w:p/>
    <w:p>
      <w:r>
        <w:br w:type="page"/>
      </w:r>
    </w:p>
    <w:tbl>
      <w:tblPr>
        <w:tblStyle w:val="TableGrid"/>
        <w:tblW w:type="auto" w:w="0"/>
        <w:tblLook w:firstColumn="1" w:firstRow="1" w:lastColumn="0" w:lastRow="0" w:noHBand="0" w:noVBand="1" w:val="04A0"/>
      </w:tblPr>
      <w:tblGrid>
        <w:gridCol w:w="9406"/>
      </w:tblGrid>
      <w:tr>
        <w:tc>
          <w:tcPr>
            <w:tcW w:type="dxa" w:w="9406"/>
            <w:shd w:val="clear" w:color="auto" w:fill="ea1100"/>
          </w:tcPr>
          <w:p>
            <w:pPr>
              <w:jc w:val="center"/>
            </w:pPr>
            <w:r>
              <w:rPr>
                <w:b/>
                <w:color w:val="FFFFFF"/>
                <w:sz w:val="26"/>
              </w:rPr>
              <w:t xml:space="preserve">  PARTE 2 — QUÉ CAMBIAR PARA QUE SE VEA MÁS MANUAL  </w:t>
            </w:r>
          </w:p>
        </w:tc>
      </w:tr>
    </w:tbl>
    <w:p>
      <w:pPr>
        <w:spacing w:after="20"/>
      </w:pPr>
    </w:p>
    <w:p/>
    <w:p>
      <w:pPr>
        <w:spacing w:after="80"/>
      </w:pPr>
      <w:r>
        <w:rPr>
          <w:b w:val="0"/>
          <w:color w:val="1A1A2E"/>
          <w:sz w:val="21"/>
        </w:rPr>
        <w:t>Un evaluador experimentado puede detectar trabajo generado por IA por tres señales: estructura demasiado perfecta, ausencia de resultados reales de código, y falta de voz propia con contexto local. Aquí los cambios concretos ordenados por impacto.</w:t>
      </w:r>
    </w:p>
    <w:p/>
    <w:p>
      <w:pPr>
        <w:pStyle w:val="Heading2"/>
        <w:jc w:val="left"/>
      </w:pPr>
      <w:r>
        <w:rPr>
          <w:b/>
          <w:color w:val="EA1100"/>
        </w:rPr>
        <w:t>🔴 Cambios de Alto Impacto</w:t>
      </w:r>
    </w:p>
    <w:p>
      <w:pPr>
        <w:spacing w:after="80"/>
      </w:pPr>
      <w:r>
        <w:rPr>
          <w:b/>
          <w:color w:val="1A1A2E"/>
          <w:sz w:val="22"/>
        </w:rPr>
        <w:t>1. Agrega resultados reales a las queries SQL</w:t>
      </w:r>
    </w:p>
    <w:p>
      <w:pPr>
        <w:spacing w:after="80"/>
      </w:pPr>
      <w:r>
        <w:rPr>
          <w:b w:val="0"/>
          <w:color w:val="1A1A2E"/>
          <w:sz w:val="20"/>
        </w:rPr>
        <w:t>La señal más obvia de una query no ejecutada es que no tiene output. Corre cada query con DuckDB (o similar) y pega una muestra de 3-5 filas como comentario al final de cada bloque SQL. Por ejemplo:</w:t>
      </w:r>
    </w:p>
    <w:p>
      <w:pPr>
        <w:ind w:left="576"/>
      </w:pPr>
      <w:r>
        <w:rPr>
          <w:rFonts w:ascii="Courier New" w:hAnsi="Courier New"/>
          <w:color w:val="2A8703"/>
          <w:sz w:val="18"/>
        </w:rPr>
        <w:t>-- RESULTADO REAL (5 filas):</w:t>
        <w:br/>
        <w:t>-- store_id  | country | format       | gmv_actual | comp_sales_pct</w:t>
        <w:br/>
        <w:t>-- TIENDA_01 | CR      | HIPERMERCADO | 284,392.10 | +12.4%</w:t>
        <w:br/>
        <w:t>-- TIENDA_07 | GT      | SUPERMERCADO | 198,211.50 | +8.1%</w:t>
      </w:r>
    </w:p>
    <w:p/>
    <w:p>
      <w:pPr>
        <w:spacing w:after="80"/>
      </w:pPr>
      <w:r>
        <w:rPr>
          <w:b/>
          <w:color w:val="1A1A2E"/>
          <w:sz w:val="22"/>
        </w:rPr>
        <w:t>2. Convierte el análisis a Jupyter Notebook con outputs visibles</w:t>
      </w:r>
    </w:p>
    <w:p>
      <w:pPr>
        <w:spacing w:after="80"/>
      </w:pPr>
      <w:r>
        <w:rPr>
          <w:b w:val="0"/>
          <w:color w:val="1A1A2E"/>
          <w:sz w:val="20"/>
        </w:rPr>
        <w:t>Un archivo .py limpio parece generado. Un .ipynb con celdas de exploración, outputs visibles y alguna celda de prueba comentada parece orgánico. Lo más importante: que cada celda de análisis muestre el dataframe resultante, no solo el gráfico final.</w:t>
      </w:r>
    </w:p>
    <w:p/>
    <w:p>
      <w:pPr>
        <w:spacing w:after="80"/>
      </w:pPr>
      <w:r>
        <w:rPr>
          <w:b/>
          <w:color w:val="1A1A2E"/>
          <w:sz w:val="22"/>
        </w:rPr>
        <w:t>3. Agrega tu voz y contexto regional en el análisis</w:t>
      </w:r>
    </w:p>
    <w:p>
      <w:pPr>
        <w:spacing w:after="80"/>
      </w:pPr>
      <w:r>
        <w:rPr>
          <w:b w:val="0"/>
          <w:color w:val="1A1A2E"/>
          <w:sz w:val="20"/>
        </w:rPr>
        <w:t>Reemplaza frases genéricas por observaciones con contexto local. Por ejemplo:</w:t>
      </w:r>
    </w:p>
    <w:p>
      <w:pPr>
        <w:pStyle w:val="ListBullet"/>
        <w:spacing w:after="60"/>
        <w:ind w:left="360"/>
      </w:pPr>
      <w:r>
        <w:rPr>
          <w:color w:val="EA1100"/>
          <w:sz w:val="20"/>
        </w:rPr>
        <w:t>En vez de: "Pico en diciembre en Hipermercado"</w:t>
      </w:r>
    </w:p>
    <w:p>
      <w:pPr>
        <w:pStyle w:val="ListBullet"/>
        <w:spacing w:after="60"/>
        <w:ind w:left="360"/>
      </w:pPr>
      <w:r>
        <w:rPr>
          <w:color w:val="2A8703"/>
          <w:sz w:val="20"/>
        </w:rPr>
        <w:t>Escribe: "El pico de diciembre en Hipermercado es consistente con el aguinaldo en Centroamérica — en CR y GT el décimo tercer mes se paga en diciembre, generando un spike de consumo típico del retail de la región."</w:t>
      </w:r>
    </w:p>
    <w:p/>
    <w:p>
      <w:pPr>
        <w:pStyle w:val="ListBullet"/>
        <w:spacing w:after="60"/>
        <w:ind w:left="360"/>
      </w:pPr>
      <w:r>
        <w:rPr>
          <w:color w:val="EA1100"/>
          <w:sz w:val="20"/>
        </w:rPr>
        <w:t>En vez de: "HN y NI tienen más efectivo"</w:t>
      </w:r>
    </w:p>
    <w:p>
      <w:pPr>
        <w:pStyle w:val="ListBullet"/>
        <w:spacing w:after="60"/>
        <w:ind w:left="360"/>
      </w:pPr>
      <w:r>
        <w:rPr>
          <w:color w:val="2A8703"/>
          <w:sz w:val="20"/>
        </w:rPr>
        <w:t>Escribe: "La alta penetración de efectivo en HN y NI refleja la menor bancarización — según datos del Banco Mundial, menos del 45% de adultos en Honduras tiene cuenta bancaria, lo que limita naturalmente la adopción de pagos digitales."</w:t>
      </w:r>
    </w:p>
    <w:p/>
    <w:p>
      <w:pPr>
        <w:spacing w:after="80"/>
      </w:pPr>
      <w:r>
        <w:rPr>
          <w:b/>
          <w:color w:val="1A1A2E"/>
          <w:sz w:val="22"/>
        </w:rPr>
        <w:t>4. Agrega pensamiento propio sobre el proceso de análisis</w:t>
      </w:r>
    </w:p>
    <w:p>
      <w:pPr>
        <w:spacing w:after="80"/>
      </w:pPr>
      <w:r>
        <w:rPr>
          <w:b w:val="0"/>
          <w:color w:val="1A1A2E"/>
          <w:sz w:val="20"/>
        </w:rPr>
        <w:t>Los analistas reales documentan su proceso de pensamiento, incluyendo los callejones sin salida. Agrega texto como:</w:t>
      </w:r>
    </w:p>
    <w:p>
      <w:pPr>
        <w:ind w:left="576"/>
      </w:pPr>
      <w:r>
        <w:rPr>
          <w:i/>
          <w:color w:val="0053E2"/>
          <w:sz w:val="20"/>
        </w:rPr>
        <w:t>"Inicialmente intenté calcular los gaps con una self-join pero era muy lento con 542K filas. Cambié al approach de window functions con LAG() que resolvió en segundos."</w:t>
        <w:br/>
        <w:br/>
        <w:t>"El resultado del A/B me sorprendió — esperaba lift neutro, no negativo. Revisé el merge dos veces para descartar error en la asignación de grupos."</w:t>
      </w:r>
    </w:p>
    <w:p/>
    <w:p>
      <w:pPr>
        <w:pStyle w:val="Heading2"/>
        <w:jc w:val="left"/>
      </w:pPr>
      <w:r>
        <w:rPr>
          <w:b/>
          <w:color w:val="FFC220"/>
        </w:rPr>
        <w:t>🟡 Cambios de Impacto Medio</w:t>
      </w:r>
    </w:p>
    <w:p>
      <w:pPr>
        <w:spacing w:after="80"/>
      </w:pPr>
      <w:r>
        <w:rPr>
          <w:b/>
          <w:color w:val="1A1A2E"/>
          <w:sz w:val="22"/>
        </w:rPr>
        <w:t>5. Incluye una sección "Limitaciones" en el análisis</w:t>
      </w:r>
    </w:p>
    <w:p>
      <w:pPr>
        <w:spacing w:after="80"/>
      </w:pPr>
      <w:r>
        <w:rPr>
          <w:b w:val="0"/>
          <w:color w:val="1A1A2E"/>
          <w:sz w:val="20"/>
        </w:rPr>
        <w:t>Los analistas maduros reconocen las limitaciones de su propio trabajo. Agrega al bloque3_analisis.md una sección como esta:</w:t>
      </w:r>
    </w:p>
    <w:p>
      <w:pPr>
        <w:ind w:left="576"/>
      </w:pPr>
      <w:r>
        <w:rPr>
          <w:i/>
          <w:color w:val="74767C"/>
          <w:sz w:val="20"/>
        </w:rPr>
        <w:t>"La detección de quiebres de stock usa ausencia de ventas como proxy de OOS. Esto genera falsos positivos en ítems de baja rotación o categorías estacionales. Un análisis más preciso requeriría datos de inventario físico, que no están en el dataset."</w:t>
      </w:r>
    </w:p>
    <w:p/>
    <w:p>
      <w:pPr>
        <w:spacing w:after="80"/>
      </w:pPr>
      <w:r>
        <w:rPr>
          <w:b/>
          <w:color w:val="1A1A2E"/>
          <w:sz w:val="22"/>
        </w:rPr>
        <w:t>6. Agrega "Decisiones que cambiaría" en bloque2</w:t>
      </w:r>
    </w:p>
    <w:p>
      <w:pPr>
        <w:spacing w:after="80"/>
      </w:pPr>
      <w:r>
        <w:rPr>
          <w:b w:val="0"/>
          <w:color w:val="1A1A2E"/>
          <w:sz w:val="20"/>
        </w:rPr>
        <w:t>Al final del bloque2_decisiones.md agrega algo como:</w:t>
      </w:r>
    </w:p>
    <w:p>
      <w:pPr>
        <w:ind w:left="576"/>
      </w:pPr>
      <w:r>
        <w:rPr>
          <w:i/>
          <w:color w:val="74767C"/>
          <w:sz w:val="20"/>
        </w:rPr>
        <w:t>"Si tuviera más tiempo, modelaría una tabla separada fact_inventory en lugar de inferir quiebres desde gaps de ventas. También consideraría SCD Tipo 2 para dim_store para rastrear cambios de formato o región de una tienda a lo largo del tiempo."</w:t>
      </w:r>
    </w:p>
    <w:p/>
    <w:p>
      <w:pPr>
        <w:spacing w:after="80"/>
      </w:pPr>
      <w:r>
        <w:rPr>
          <w:b/>
          <w:color w:val="1A1A2E"/>
          <w:sz w:val="22"/>
        </w:rPr>
        <w:t>7. El código de Python debe tener exploración visible</w:t>
      </w:r>
    </w:p>
    <w:p>
      <w:pPr>
        <w:spacing w:after="80"/>
      </w:pPr>
      <w:r>
        <w:rPr>
          <w:b w:val="0"/>
          <w:color w:val="1A1A2E"/>
          <w:sz w:val="20"/>
        </w:rPr>
        <w:t>Agrega en el notebook algunas celdas de exploración típicas que un analista real hace:</w:t>
      </w:r>
    </w:p>
    <w:p>
      <w:pPr>
        <w:ind w:left="576"/>
      </w:pPr>
      <w:r>
        <w:rPr>
          <w:rFonts w:ascii="Courier New" w:hAnsi="Courier New"/>
          <w:color w:val="2A8703"/>
          <w:sz w:val="18"/>
        </w:rPr>
        <w:t>txn.dtypes  # verificar tipos antes de parsear fechas</w:t>
      </w:r>
    </w:p>
    <w:p>
      <w:pPr>
        <w:ind w:left="576"/>
      </w:pPr>
      <w:r>
        <w:rPr>
          <w:rFonts w:ascii="Courier New" w:hAnsi="Courier New"/>
          <w:color w:val="2A8703"/>
          <w:sz w:val="18"/>
        </w:rPr>
        <w:t>txn['total_amount'].describe()  # ver distribución antes de analizar</w:t>
      </w:r>
    </w:p>
    <w:p>
      <w:pPr>
        <w:ind w:left="576"/>
      </w:pPr>
      <w:r>
        <w:rPr>
          <w:rFonts w:ascii="Courier New" w:hAnsi="Courier New"/>
          <w:color w:val="2A8703"/>
          <w:sz w:val="18"/>
        </w:rPr>
        <w:t>txn.isnull().sum()  # primer vistazo a nulls</w:t>
      </w:r>
    </w:p>
    <w:p>
      <w:pPr>
        <w:ind w:left="576"/>
      </w:pPr>
      <w:r>
        <w:rPr>
          <w:rFonts w:ascii="Courier New" w:hAnsi="Courier New"/>
          <w:color w:val="2A8703"/>
          <w:sz w:val="18"/>
        </w:rPr>
        <w:t>txn.head(10)  # siempre mirar los datos crudos primero</w:t>
      </w:r>
    </w:p>
    <w:p/>
    <w:p>
      <w:pPr>
        <w:pStyle w:val="Heading2"/>
        <w:jc w:val="left"/>
      </w:pPr>
      <w:r>
        <w:rPr>
          <w:b/>
          <w:color w:val="2A8703"/>
        </w:rPr>
        <w:t>🟢 Cambios Rápidos (menos de 5 min cada uno)</w:t>
      </w:r>
    </w:p>
    <w:p>
      <w:pPr>
        <w:spacing w:after="80"/>
      </w:pPr>
      <w:r>
        <w:rPr>
          <w:b/>
          <w:color w:val="1A1A2E"/>
          <w:sz w:val="22"/>
        </w:rPr>
        <w:t>8. Sé más específico en el README sobre qué validaste tú</w:t>
      </w:r>
    </w:p>
    <w:p>
      <w:pPr>
        <w:spacing w:after="80"/>
      </w:pPr>
      <w:r>
        <w:rPr>
          <w:b w:val="0"/>
          <w:color w:val="1A1A2E"/>
          <w:sz w:val="20"/>
        </w:rPr>
        <w:t>En vez de: "Las decisiones analíticas son propias"</w:t>
      </w:r>
    </w:p>
    <w:p>
      <w:pPr>
        <w:spacing w:after="80"/>
      </w:pPr>
      <w:r>
        <w:rPr>
          <w:b w:val="0"/>
          <w:color w:val="2A8703"/>
          <w:sz w:val="20"/>
        </w:rPr>
        <w:t>Escribe: "Verifiqué manualmente que la tasa de 59.83% sin customer_id coincide exactamente con loyalty_card=FALSE (diferencia=0). Corrí el t-test del A/B dos veces cambiando el orden del merge para confirmar que el signo del lift era correcto."</w:t>
      </w:r>
    </w:p>
    <w:p/>
    <w:p>
      <w:pPr>
        <w:spacing w:after="80"/>
      </w:pPr>
      <w:r>
        <w:rPr>
          <w:b/>
          <w:color w:val="1A1A2E"/>
          <w:sz w:val="22"/>
        </w:rPr>
        <w:t>9. Agrega el snippet de código en la auditoría</w:t>
      </w:r>
    </w:p>
    <w:p>
      <w:pPr>
        <w:spacing w:after="80"/>
      </w:pPr>
      <w:r>
        <w:rPr>
          <w:b w:val="0"/>
          <w:color w:val="1A1A2E"/>
          <w:sz w:val="20"/>
        </w:rPr>
        <w:t>En bloque0_auditoria.md, debajo de cada hallazgo, incluye el código Python que lo generó. Esto demuestra que los números vienen de análisis real:</w:t>
      </w:r>
    </w:p>
    <w:p>
      <w:pPr>
        <w:ind w:left="576"/>
      </w:pPr>
      <w:r>
        <w:rPr>
          <w:rFonts w:ascii="Courier New" w:hAnsi="Courier New"/>
          <w:color w:val="2A8703"/>
          <w:sz w:val="18"/>
        </w:rPr>
        <w:t># Verificación de consistencia</w:t>
        <w:br/>
        <w:t>items_sum = items.groupby('transaction_id').apply(</w:t>
        <w:br/>
        <w:t xml:space="preserve">    lambda x: (x['unit_price'] * x['quantity']).sum()</w:t>
        <w:br/>
        <w:t>).reset_index()</w:t>
        <w:br/>
        <w:t>inconsistente = (abs(merged['diff']) &gt; 0.01).sum()</w:t>
        <w:br/>
        <w:t># Resultado: 1,745 transacciones con discrepancia</w:t>
      </w:r>
    </w:p>
    <w:p/>
    <w:p>
      <w:r>
        <w:br w:type="page"/>
      </w:r>
    </w:p>
    <w:tbl>
      <w:tblPr>
        <w:tblStyle w:val="TableGrid"/>
        <w:tblW w:type="auto" w:w="0"/>
        <w:tblLook w:firstColumn="1" w:firstRow="1" w:lastColumn="0" w:lastRow="0" w:noHBand="0" w:noVBand="1" w:val="04A0"/>
      </w:tblPr>
      <w:tblGrid>
        <w:gridCol w:w="9406"/>
      </w:tblGrid>
      <w:tr>
        <w:tc>
          <w:tcPr>
            <w:tcW w:type="dxa" w:w="9406"/>
            <w:shd w:val="clear" w:color="auto" w:fill="1A1A2E"/>
          </w:tcPr>
          <w:p>
            <w:pPr>
              <w:jc w:val="center"/>
            </w:pPr>
            <w:r>
              <w:rPr>
                <w:b/>
                <w:color w:val="FFFFFF"/>
                <w:sz w:val="26"/>
              </w:rPr>
              <w:t xml:space="preserve">  RESUMEN — TABLA DE PRIORIDADES  </w:t>
            </w:r>
          </w:p>
        </w:tc>
      </w:tr>
    </w:tbl>
    <w:p>
      <w:pPr>
        <w:spacing w:after="20"/>
      </w:pP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53E2"/>
          </w:tcPr>
          <w:p>
            <w:r>
              <w:rPr>
                <w:b/>
                <w:color w:val="FFFFFF"/>
                <w:sz w:val="20"/>
              </w:rPr>
              <w:t>Cambio</w:t>
            </w:r>
          </w:p>
        </w:tc>
        <w:tc>
          <w:tcPr>
            <w:tcW w:type="dxa" w:w="3135"/>
            <w:shd w:val="clear" w:color="auto" w:fill="0053E2"/>
          </w:tcPr>
          <w:p>
            <w:r>
              <w:rPr>
                <w:b/>
                <w:color w:val="FFFFFF"/>
                <w:sz w:val="20"/>
              </w:rPr>
              <w:t>Impacto</w:t>
            </w:r>
          </w:p>
        </w:tc>
        <w:tc>
          <w:tcPr>
            <w:tcW w:type="dxa" w:w="3135"/>
            <w:shd w:val="clear" w:color="auto" w:fill="0053E2"/>
          </w:tcPr>
          <w:p>
            <w:r>
              <w:rPr>
                <w:b/>
                <w:color w:val="FFFFFF"/>
                <w:sz w:val="20"/>
              </w:rPr>
              <w:t>Tiempo estimado</w:t>
            </w:r>
          </w:p>
        </w:tc>
      </w:tr>
      <w:tr>
        <w:tc>
          <w:tcPr>
            <w:tcW w:type="dxa" w:w="3135"/>
            <w:shd w:val="clear" w:color="auto" w:fill="F9FAFB"/>
          </w:tcPr>
          <w:p>
            <w:r>
              <w:rPr>
                <w:color w:val="1A1A2E"/>
                <w:sz w:val="20"/>
              </w:rPr>
              <w:t>Correr queries y pegar resultados reales en el .sql</w:t>
            </w:r>
          </w:p>
        </w:tc>
        <w:tc>
          <w:tcPr>
            <w:tcW w:type="dxa" w:w="3135"/>
            <w:shd w:val="clear" w:color="auto" w:fill="F9FAFB"/>
          </w:tcPr>
          <w:p>
            <w:r>
              <w:rPr>
                <w:color w:val="1A1A2E"/>
                <w:sz w:val="20"/>
              </w:rPr>
              <w:t>🔴 Alto</w:t>
            </w:r>
          </w:p>
        </w:tc>
        <w:tc>
          <w:tcPr>
            <w:tcW w:type="dxa" w:w="3135"/>
            <w:shd w:val="clear" w:color="auto" w:fill="F9FAFB"/>
          </w:tcPr>
          <w:p>
            <w:r>
              <w:rPr>
                <w:color w:val="1A1A2E"/>
                <w:sz w:val="20"/>
              </w:rPr>
              <w:t>30 min</w:t>
            </w:r>
          </w:p>
        </w:tc>
      </w:tr>
      <w:tr>
        <w:tc>
          <w:tcPr>
            <w:tcW w:type="dxa" w:w="3135"/>
            <w:shd w:val="clear" w:color="auto" w:fill="FFFFFF"/>
          </w:tcPr>
          <w:p>
            <w:r>
              <w:rPr>
                <w:color w:val="1A1A2E"/>
                <w:sz w:val="20"/>
              </w:rPr>
              <w:t>Convertir bloque3_analisis.py a Jupyter Notebook</w:t>
            </w:r>
          </w:p>
        </w:tc>
        <w:tc>
          <w:tcPr>
            <w:tcW w:type="dxa" w:w="3135"/>
            <w:shd w:val="clear" w:color="auto" w:fill="FFFFFF"/>
          </w:tcPr>
          <w:p>
            <w:r>
              <w:rPr>
                <w:color w:val="1A1A2E"/>
                <w:sz w:val="20"/>
              </w:rPr>
              <w:t>🔴 Alto</w:t>
            </w:r>
          </w:p>
        </w:tc>
        <w:tc>
          <w:tcPr>
            <w:tcW w:type="dxa" w:w="3135"/>
            <w:shd w:val="clear" w:color="auto" w:fill="FFFFFF"/>
          </w:tcPr>
          <w:p>
            <w:r>
              <w:rPr>
                <w:color w:val="1A1A2E"/>
                <w:sz w:val="20"/>
              </w:rPr>
              <w:t>20 min</w:t>
            </w:r>
          </w:p>
        </w:tc>
      </w:tr>
      <w:tr>
        <w:tc>
          <w:tcPr>
            <w:tcW w:type="dxa" w:w="3135"/>
            <w:shd w:val="clear" w:color="auto" w:fill="F9FAFB"/>
          </w:tcPr>
          <w:p>
            <w:r>
              <w:rPr>
                <w:color w:val="1A1A2E"/>
                <w:sz w:val="20"/>
              </w:rPr>
              <w:t>Agregar voz propia y contexto regional en el análisis</w:t>
            </w:r>
          </w:p>
        </w:tc>
        <w:tc>
          <w:tcPr>
            <w:tcW w:type="dxa" w:w="3135"/>
            <w:shd w:val="clear" w:color="auto" w:fill="F9FAFB"/>
          </w:tcPr>
          <w:p>
            <w:r>
              <w:rPr>
                <w:color w:val="1A1A2E"/>
                <w:sz w:val="20"/>
              </w:rPr>
              <w:t>🔴 Alto</w:t>
            </w:r>
          </w:p>
        </w:tc>
        <w:tc>
          <w:tcPr>
            <w:tcW w:type="dxa" w:w="3135"/>
            <w:shd w:val="clear" w:color="auto" w:fill="F9FAFB"/>
          </w:tcPr>
          <w:p>
            <w:r>
              <w:rPr>
                <w:color w:val="1A1A2E"/>
                <w:sz w:val="20"/>
              </w:rPr>
              <w:t>20 min</w:t>
            </w:r>
          </w:p>
        </w:tc>
      </w:tr>
      <w:tr>
        <w:tc>
          <w:tcPr>
            <w:tcW w:type="dxa" w:w="3135"/>
            <w:shd w:val="clear" w:color="auto" w:fill="FFFFFF"/>
          </w:tcPr>
          <w:p>
            <w:r>
              <w:rPr>
                <w:color w:val="1A1A2E"/>
                <w:sz w:val="20"/>
              </w:rPr>
              <w:t>Sección "Limitaciones" en bloque3</w:t>
            </w:r>
          </w:p>
        </w:tc>
        <w:tc>
          <w:tcPr>
            <w:tcW w:type="dxa" w:w="3135"/>
            <w:shd w:val="clear" w:color="auto" w:fill="FFFFFF"/>
          </w:tcPr>
          <w:p>
            <w:r>
              <w:rPr>
                <w:color w:val="1A1A2E"/>
                <w:sz w:val="20"/>
              </w:rPr>
              <w:t>🟡 Medio</w:t>
            </w:r>
          </w:p>
        </w:tc>
        <w:tc>
          <w:tcPr>
            <w:tcW w:type="dxa" w:w="3135"/>
            <w:shd w:val="clear" w:color="auto" w:fill="FFFFFF"/>
          </w:tcPr>
          <w:p>
            <w:r>
              <w:rPr>
                <w:color w:val="1A1A2E"/>
                <w:sz w:val="20"/>
              </w:rPr>
              <w:t>10 min</w:t>
            </w:r>
          </w:p>
        </w:tc>
      </w:tr>
      <w:tr>
        <w:tc>
          <w:tcPr>
            <w:tcW w:type="dxa" w:w="3135"/>
            <w:shd w:val="clear" w:color="auto" w:fill="F9FAFB"/>
          </w:tcPr>
          <w:p>
            <w:r>
              <w:rPr>
                <w:color w:val="1A1A2E"/>
                <w:sz w:val="20"/>
              </w:rPr>
              <w:t>Sección "Decisiones que cambiaría" en bloque2</w:t>
            </w:r>
          </w:p>
        </w:tc>
        <w:tc>
          <w:tcPr>
            <w:tcW w:type="dxa" w:w="3135"/>
            <w:shd w:val="clear" w:color="auto" w:fill="F9FAFB"/>
          </w:tcPr>
          <w:p>
            <w:r>
              <w:rPr>
                <w:color w:val="1A1A2E"/>
                <w:sz w:val="20"/>
              </w:rPr>
              <w:t>🟡 Medio</w:t>
            </w:r>
          </w:p>
        </w:tc>
        <w:tc>
          <w:tcPr>
            <w:tcW w:type="dxa" w:w="3135"/>
            <w:shd w:val="clear" w:color="auto" w:fill="F9FAFB"/>
          </w:tcPr>
          <w:p>
            <w:r>
              <w:rPr>
                <w:color w:val="1A1A2E"/>
                <w:sz w:val="20"/>
              </w:rPr>
              <w:t>10 min</w:t>
            </w:r>
          </w:p>
        </w:tc>
      </w:tr>
      <w:tr>
        <w:tc>
          <w:tcPr>
            <w:tcW w:type="dxa" w:w="3135"/>
            <w:shd w:val="clear" w:color="auto" w:fill="FFFFFF"/>
          </w:tcPr>
          <w:p>
            <w:r>
              <w:rPr>
                <w:color w:val="1A1A2E"/>
                <w:sz w:val="20"/>
              </w:rPr>
              <w:t>Exploración básica visible en el notebook</w:t>
            </w:r>
          </w:p>
        </w:tc>
        <w:tc>
          <w:tcPr>
            <w:tcW w:type="dxa" w:w="3135"/>
            <w:shd w:val="clear" w:color="auto" w:fill="FFFFFF"/>
          </w:tcPr>
          <w:p>
            <w:r>
              <w:rPr>
                <w:color w:val="1A1A2E"/>
                <w:sz w:val="20"/>
              </w:rPr>
              <w:t>🟡 Medio</w:t>
            </w:r>
          </w:p>
        </w:tc>
        <w:tc>
          <w:tcPr>
            <w:tcW w:type="dxa" w:w="3135"/>
            <w:shd w:val="clear" w:color="auto" w:fill="FFFFFF"/>
          </w:tcPr>
          <w:p>
            <w:r>
              <w:rPr>
                <w:color w:val="1A1A2E"/>
                <w:sz w:val="20"/>
              </w:rPr>
              <w:t>10 min</w:t>
            </w:r>
          </w:p>
        </w:tc>
      </w:tr>
      <w:tr>
        <w:tc>
          <w:tcPr>
            <w:tcW w:type="dxa" w:w="3135"/>
            <w:shd w:val="clear" w:color="auto" w:fill="F9FAFB"/>
          </w:tcPr>
          <w:p>
            <w:r>
              <w:rPr>
                <w:color w:val="1A1A2E"/>
                <w:sz w:val="20"/>
              </w:rPr>
              <w:t>Especificar qué validaste tú en el README</w:t>
            </w:r>
          </w:p>
        </w:tc>
        <w:tc>
          <w:tcPr>
            <w:tcW w:type="dxa" w:w="3135"/>
            <w:shd w:val="clear" w:color="auto" w:fill="F9FAFB"/>
          </w:tcPr>
          <w:p>
            <w:r>
              <w:rPr>
                <w:color w:val="1A1A2E"/>
                <w:sz w:val="20"/>
              </w:rPr>
              <w:t>🟢 Rápido</w:t>
            </w:r>
          </w:p>
        </w:tc>
        <w:tc>
          <w:tcPr>
            <w:tcW w:type="dxa" w:w="3135"/>
            <w:shd w:val="clear" w:color="auto" w:fill="F9FAFB"/>
          </w:tcPr>
          <w:p>
            <w:r>
              <w:rPr>
                <w:color w:val="1A1A2E"/>
                <w:sz w:val="20"/>
              </w:rPr>
              <w:t>5 min</w:t>
            </w:r>
          </w:p>
        </w:tc>
      </w:tr>
      <w:tr>
        <w:tc>
          <w:tcPr>
            <w:tcW w:type="dxa" w:w="3135"/>
            <w:shd w:val="clear" w:color="auto" w:fill="FFFFFF"/>
          </w:tcPr>
          <w:p>
            <w:r>
              <w:rPr>
                <w:color w:val="1A1A2E"/>
                <w:sz w:val="20"/>
              </w:rPr>
              <w:t>Snippets de código en bloque0_auditoria.md</w:t>
            </w:r>
          </w:p>
        </w:tc>
        <w:tc>
          <w:tcPr>
            <w:tcW w:type="dxa" w:w="3135"/>
            <w:shd w:val="clear" w:color="auto" w:fill="FFFFFF"/>
          </w:tcPr>
          <w:p>
            <w:r>
              <w:rPr>
                <w:color w:val="1A1A2E"/>
                <w:sz w:val="20"/>
              </w:rPr>
              <w:t>🟢 Rápido</w:t>
            </w:r>
          </w:p>
        </w:tc>
        <w:tc>
          <w:tcPr>
            <w:tcW w:type="dxa" w:w="3135"/>
            <w:shd w:val="clear" w:color="auto" w:fill="FFFFFF"/>
          </w:tcPr>
          <w:p>
            <w:r>
              <w:rPr>
                <w:color w:val="1A1A2E"/>
                <w:sz w:val="20"/>
              </w:rPr>
              <w:t>5 min</w:t>
            </w:r>
          </w:p>
        </w:tc>
      </w:tr>
    </w:tbl>
    <w:p/>
    <w:p>
      <w:r>
        <w:br w:type="page"/>
      </w:r>
    </w:p>
    <w:tbl>
      <w:tblPr>
        <w:tblStyle w:val="TableGrid"/>
        <w:tblW w:type="auto" w:w="0"/>
        <w:tblLook w:firstColumn="1" w:firstRow="1" w:lastColumn="0" w:lastRow="0" w:noHBand="0" w:noVBand="1" w:val="04A0"/>
      </w:tblPr>
      <w:tblGrid>
        <w:gridCol w:w="9406"/>
      </w:tblGrid>
      <w:tr>
        <w:tc>
          <w:tcPr>
            <w:tcW w:type="dxa" w:w="9406"/>
            <w:shd w:val="clear" w:color="auto" w:fill="2a8703"/>
          </w:tcPr>
          <w:p>
            <w:pPr>
              <w:jc w:val="center"/>
            </w:pPr>
            <w:r>
              <w:rPr>
                <w:b/>
                <w:color w:val="FFFFFF"/>
                <w:sz w:val="26"/>
              </w:rPr>
              <w:t xml:space="preserve">  CHECKLIST MENTAL PARA LA EXPOSICIÓN  </w:t>
            </w:r>
          </w:p>
        </w:tc>
      </w:tr>
    </w:tbl>
    <w:p>
      <w:pPr>
        <w:spacing w:after="20"/>
      </w:pPr>
    </w:p>
    <w:p/>
    <w:p>
      <w:pPr>
        <w:spacing w:after="80"/>
      </w:pPr>
      <w:r>
        <w:rPr>
          <w:b w:val="0"/>
          <w:color w:val="1A1A2E"/>
          <w:sz w:val="21"/>
        </w:rPr>
        <w:t>Antes de entrar a la exposición, asegúrate de poder responder estas preguntas en menos de 60 segundos cada una:</w:t>
      </w:r>
    </w:p>
    <w:p/>
    <w:p>
      <w:pPr>
        <w:spacing w:after="80"/>
      </w:pPr>
      <w:r>
        <w:rPr>
          <w:b/>
          <w:color w:val="0053E2"/>
          <w:sz w:val="22"/>
        </w:rPr>
        <w:t>📌 A/B Test</w:t>
      </w:r>
    </w:p>
    <w:p>
      <w:pPr>
        <w:pStyle w:val="ListBullet"/>
        <w:spacing w:after="60"/>
        <w:ind w:left="360"/>
      </w:pPr>
      <w:r>
        <w:rPr>
          <w:color w:val="1A1A2E"/>
          <w:sz w:val="20"/>
        </w:rPr>
        <w:t>¿Por qué Welch t-test?</w:t>
      </w:r>
    </w:p>
    <w:p>
      <w:pPr>
        <w:pStyle w:val="ListBullet"/>
        <w:spacing w:after="60"/>
        <w:ind w:left="360"/>
      </w:pPr>
      <w:r>
        <w:rPr>
          <w:color w:val="1A1A2E"/>
          <w:sz w:val="20"/>
        </w:rPr>
        <w:t>¿Qué significa p=0.24 en términos de negocio?</w:t>
      </w:r>
    </w:p>
    <w:p>
      <w:pPr>
        <w:pStyle w:val="ListBullet"/>
        <w:spacing w:after="60"/>
        <w:ind w:left="360"/>
      </w:pPr>
      <w:r>
        <w:rPr>
          <w:color w:val="1A1A2E"/>
          <w:sz w:val="20"/>
        </w:rPr>
        <w:t>¿Por qué NO implementarías aunque el p-value fuera 0.08?</w:t>
      </w:r>
    </w:p>
    <w:p>
      <w:pPr>
        <w:pStyle w:val="ListBullet"/>
        <w:spacing w:after="60"/>
        <w:ind w:left="360"/>
      </w:pPr>
      <w:r>
        <w:rPr>
          <w:color w:val="1A1A2E"/>
          <w:sz w:val="20"/>
        </w:rPr>
        <w:t>¿Por qué excluiste TIENDA_008 y TIENDA_037?</w:t>
      </w:r>
    </w:p>
    <w:p/>
    <w:p>
      <w:pPr>
        <w:spacing w:after="80"/>
      </w:pPr>
      <w:r>
        <w:rPr>
          <w:b/>
          <w:color w:val="0053E2"/>
          <w:sz w:val="22"/>
        </w:rPr>
        <w:t>📌 SQL</w:t>
      </w:r>
    </w:p>
    <w:p>
      <w:pPr>
        <w:pStyle w:val="ListBullet"/>
        <w:spacing w:after="60"/>
        <w:ind w:left="360"/>
      </w:pPr>
      <w:r>
        <w:rPr>
          <w:color w:val="1A1A2E"/>
          <w:sz w:val="20"/>
        </w:rPr>
        <w:t>¿Qué hace PARTITION BY y en qué query lo usaste?</w:t>
      </w:r>
    </w:p>
    <w:p>
      <w:pPr>
        <w:pStyle w:val="ListBullet"/>
        <w:spacing w:after="60"/>
        <w:ind w:left="360"/>
      </w:pPr>
      <w:r>
        <w:rPr>
          <w:color w:val="1A1A2E"/>
          <w:sz w:val="20"/>
        </w:rPr>
        <w:t>¿Qué es el patrón islands &amp; gaps?</w:t>
      </w:r>
    </w:p>
    <w:p>
      <w:pPr>
        <w:pStyle w:val="ListBullet"/>
        <w:spacing w:after="60"/>
        <w:ind w:left="360"/>
      </w:pPr>
      <w:r>
        <w:rPr>
          <w:color w:val="1A1A2E"/>
          <w:sz w:val="20"/>
        </w:rPr>
        <w:t>¿Por qué la Query 2 usa PERCENTILE_CONT y no MIN?</w:t>
      </w:r>
    </w:p>
    <w:p>
      <w:pPr>
        <w:pStyle w:val="ListBullet"/>
        <w:spacing w:after="60"/>
        <w:ind w:left="360"/>
      </w:pPr>
      <w:r>
        <w:rPr>
          <w:color w:val="1A1A2E"/>
          <w:sz w:val="20"/>
        </w:rPr>
        <w:t>¿Cómo garantizas que Comp Sales excluye tiendas nuevas?</w:t>
      </w:r>
    </w:p>
    <w:p/>
    <w:p>
      <w:pPr>
        <w:spacing w:after="80"/>
      </w:pPr>
      <w:r>
        <w:rPr>
          <w:b/>
          <w:color w:val="0053E2"/>
          <w:sz w:val="22"/>
        </w:rPr>
        <w:t>📌 Modelado</w:t>
      </w:r>
    </w:p>
    <w:p>
      <w:pPr>
        <w:pStyle w:val="ListBullet"/>
        <w:spacing w:after="60"/>
        <w:ind w:left="360"/>
      </w:pPr>
      <w:r>
        <w:rPr>
          <w:color w:val="1A1A2E"/>
          <w:sz w:val="20"/>
        </w:rPr>
        <w:t>¿Por qué granularidad a nivel de ítem?</w:t>
      </w:r>
    </w:p>
    <w:p>
      <w:pPr>
        <w:pStyle w:val="ListBullet"/>
        <w:spacing w:after="60"/>
        <w:ind w:left="360"/>
      </w:pPr>
      <w:r>
        <w:rPr>
          <w:color w:val="1A1A2E"/>
          <w:sz w:val="20"/>
        </w:rPr>
        <w:t>¿Qué es SCD Tipo 1 y por qué lo usaste?</w:t>
      </w:r>
    </w:p>
    <w:p>
      <w:pPr>
        <w:pStyle w:val="ListBullet"/>
        <w:spacing w:after="60"/>
        <w:ind w:left="360"/>
      </w:pPr>
      <w:r>
        <w:rPr>
          <w:color w:val="1A1A2E"/>
          <w:sz w:val="20"/>
        </w:rPr>
        <w:t>¿Qué es is_comparable y por qué está en dim_store?</w:t>
      </w:r>
    </w:p>
    <w:p>
      <w:pPr>
        <w:pStyle w:val="ListBullet"/>
        <w:spacing w:after="60"/>
        <w:ind w:left="360"/>
      </w:pPr>
      <w:r>
        <w:rPr>
          <w:color w:val="1A1A2E"/>
          <w:sz w:val="20"/>
        </w:rPr>
        <w:t>¿Cómo resuelves una discrepancia de GMV entre dos reportes?</w:t>
      </w:r>
    </w:p>
    <w:p/>
    <w:p>
      <w:pPr>
        <w:spacing w:after="80"/>
      </w:pPr>
      <w:r>
        <w:rPr>
          <w:b/>
          <w:color w:val="0053E2"/>
          <w:sz w:val="22"/>
        </w:rPr>
        <w:t>📌 KPIs</w:t>
      </w:r>
    </w:p>
    <w:p>
      <w:pPr>
        <w:pStyle w:val="ListBullet"/>
        <w:spacing w:after="60"/>
        <w:ind w:left="360"/>
      </w:pPr>
      <w:r>
        <w:rPr>
          <w:color w:val="1A1A2E"/>
          <w:sz w:val="20"/>
        </w:rPr>
        <w:t>¿Por qué GMV/m² comparable es el North Star?</w:t>
      </w:r>
    </w:p>
    <w:p>
      <w:pPr>
        <w:pStyle w:val="ListBullet"/>
        <w:spacing w:after="60"/>
        <w:ind w:left="360"/>
      </w:pPr>
      <w:r>
        <w:rPr>
          <w:color w:val="1A1A2E"/>
          <w:sz w:val="20"/>
        </w:rPr>
        <w:t>¿Cuál es tu leading indicator y por qué es predictivo?</w:t>
      </w:r>
    </w:p>
    <w:p>
      <w:pPr>
        <w:pStyle w:val="ListBullet"/>
        <w:spacing w:after="60"/>
        <w:ind w:left="360"/>
      </w:pPr>
      <w:r>
        <w:rPr>
          <w:color w:val="1A1A2E"/>
          <w:sz w:val="20"/>
        </w:rPr>
        <w:t>¿Cómo detectas si un KPI tiene datos malos?</w:t>
      </w:r>
    </w:p>
    <w:p>
      <w:pPr>
        <w:pStyle w:val="ListBullet"/>
        <w:spacing w:after="60"/>
        <w:ind w:left="360"/>
      </w:pPr>
      <w:r>
        <w:rPr>
          <w:color w:val="1A1A2E"/>
          <w:sz w:val="20"/>
        </w:rPr>
        <w:t>¿Cuál es el KPI compuesto y cómo se calcula?</w:t>
      </w:r>
    </w:p>
    <w:p/>
    <w:p>
      <w:pPr>
        <w:spacing w:after="80"/>
      </w:pPr>
      <w:r>
        <w:rPr>
          <w:b/>
          <w:color w:val="0053E2"/>
          <w:sz w:val="22"/>
        </w:rPr>
        <w:t>📌 Auditoría</w:t>
      </w:r>
    </w:p>
    <w:p>
      <w:pPr>
        <w:pStyle w:val="ListBullet"/>
        <w:spacing w:after="60"/>
        <w:ind w:left="360"/>
      </w:pPr>
      <w:r>
        <w:rPr>
          <w:color w:val="1A1A2E"/>
          <w:sz w:val="20"/>
        </w:rPr>
        <w:t>¿Cuántas transacciones tenían total_amount inconsistente?</w:t>
      </w:r>
    </w:p>
    <w:p>
      <w:pPr>
        <w:pStyle w:val="ListBullet"/>
        <w:spacing w:after="60"/>
        <w:ind w:left="360"/>
      </w:pPr>
      <w:r>
        <w:rPr>
          <w:color w:val="1A1A2E"/>
          <w:sz w:val="20"/>
        </w:rPr>
        <w:t>¿Por qué usas SUM(unit_price×qty) y no total_amount para GMV?</w:t>
      </w:r>
    </w:p>
    <w:p>
      <w:pPr>
        <w:pStyle w:val="ListBullet"/>
        <w:spacing w:after="60"/>
        <w:ind w:left="360"/>
      </w:pPr>
      <w:r>
        <w:rPr>
          <w:color w:val="1A1A2E"/>
          <w:sz w:val="20"/>
        </w:rPr>
        <w:t>¿Qué decidiste hacer con las 50 transacciones pre-apertura?</w:t>
      </w:r>
    </w:p>
    <w:p>
      <w:pPr>
        <w:pStyle w:val="ListBullet"/>
        <w:spacing w:after="60"/>
        <w:ind w:left="360"/>
      </w:pPr>
      <w:r>
        <w:rPr>
          <w:color w:val="1A1A2E"/>
          <w:sz w:val="20"/>
        </w:rPr>
        <w:t>¿Cuántas tiendas tenían gaps de datos y cuál era la más afectada?</w:t>
      </w:r>
    </w:p>
    <w:p/>
    <w:p>
      <w:pPr>
        <w:spacing w:after="40"/>
      </w:pPr>
      <w:r>
        <w:rPr>
          <w:color w:val="CCCCCC"/>
          <w:sz w:val="16"/>
        </w:rPr>
        <w:t>────────────────────────────────────────────────────────────────────────────────</w:t>
      </w:r>
    </w:p>
    <w:p>
      <w:pPr>
        <w:jc w:val="center"/>
      </w:pPr>
      <w:r>
        <w:rPr>
          <w:i/>
          <w:color w:val="74767C"/>
          <w:sz w:val="16"/>
        </w:rPr>
        <w:t>Prueba Técnica — Data Analyst — Cadena Retail Multiformato Centroamérica  |  Diego Alberto Calderón Calderón  |  Abril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