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8A"/>
          <w:sz w:val="52"/>
        </w:rPr>
        <w:t>REPORTE TÉCNICO</w:t>
      </w:r>
    </w:p>
    <w:p>
      <w:pPr>
        <w:jc w:val="center"/>
      </w:pPr>
      <w:r>
        <w:rPr>
          <w:b/>
          <w:color w:val="2E74B5"/>
          <w:sz w:val="36"/>
        </w:rPr>
        <w:t>Módulo Alerts / SIAT-CT / SMN</w:t>
      </w:r>
    </w:p>
    <w:p/>
    <w:p>
      <w:pPr>
        <w:jc w:val="center"/>
      </w:pPr>
      <w:r>
        <w:rPr>
          <w:b/>
        </w:rPr>
        <w:t>BluEye Backend — API v1</w:t>
      </w:r>
    </w:p>
    <w:p>
      <w:pPr>
        <w:jc w:val="center"/>
      </w:pPr>
      <w:r>
        <w:t>Fecha: 25 de April de 2026</w:t>
      </w:r>
    </w:p>
    <w:p>
      <w:pPr>
        <w:jc w:val="center"/>
      </w:pPr>
      <w:r>
        <w:t>Autor: Edgar (Boro739)</w:t>
      </w:r>
    </w:p>
    <w:p>
      <w:r>
        <w:br w:type="page"/>
      </w:r>
    </w:p>
    <w:p>
      <w:pPr>
        <w:spacing w:before="360" w:after="120"/>
      </w:pPr>
      <w:r>
        <w:rPr>
          <w:b/>
          <w:color w:val="1A568A"/>
          <w:sz w:val="36"/>
        </w:rPr>
        <w:t>1. Visión General</w:t>
      </w:r>
    </w:p>
    <w:p>
      <w:pPr>
        <w:pBdr>
          <w:bottom w:val="single" w:sz="6" w:space="1" w:color="1A568A"/>
        </w:pBdr>
        <w:spacing w:before="80" w:after="160"/>
      </w:pPr>
    </w:p>
    <w:p>
      <w:pPr>
        <w:spacing w:after="120"/>
      </w:pPr>
      <w:r>
        <w:t>El módulo de Alerts es la capa de presentación de riesgo del sistema BluEye. No genera datos propios: integra, transforma y prioriza información proveniente de tres fuentes independientes para entregar al usuario móvil una respuesta cohesiva y personalizada sobre el estado de amenaza ciclónica en su ubicación.</w:t>
      </w:r>
    </w:p>
    <w:p>
      <w:pPr>
        <w:spacing w:before="200" w:after="40"/>
      </w:pPr>
      <w:r>
        <w:rPr>
          <w:b/>
          <w:color w:val="2E74B5"/>
          <w:sz w:val="24"/>
        </w:rPr>
        <w:t>Relación con otros módulos</w:t>
      </w:r>
    </w:p>
    <w:p>
      <w:pPr>
        <w:spacing w:after="120"/>
      </w:pPr>
      <w:r>
        <w:rPr>
          <w:b/>
        </w:rPr>
        <w:t xml:space="preserve">Relación con users: </w:t>
      </w:r>
      <w:r>
        <w:rPr>
          <w:b w:val="0"/>
        </w:rPr>
        <w:t>El endpoint principal (/alerts/active) es consciente del usuario autenticado. Obtiene el perfil del usuario desde la feature users — específicamente sus coordenadas lat/lon — para personalizar el riesgo SIAT. Si el usuario no tiene perfil registrado, la respuesta sigue siendo válida pero omite el componente personalizado.</w:t>
      </w:r>
    </w:p>
    <w:p>
      <w:pPr>
        <w:spacing w:after="120"/>
      </w:pPr>
      <w:r>
        <w:rPr>
          <w:b/>
        </w:rPr>
        <w:t xml:space="preserve">Relación con notifications: </w:t>
      </w:r>
      <w:r>
        <w:rPr>
          <w:b w:val="0"/>
        </w:rPr>
        <w:t>El módulo alerts no envía notificaciones directamente. Esa responsabilidad pertenece a siat/service.py, que usa notifications/service.get_tokens_for_users() para obtener los tokens FCM de los usuarios escalados y enviarles push de forma dirigida (uno a uno, no broadcast).</w:t>
      </w:r>
    </w:p>
    <w:p>
      <w:pPr>
        <w:spacing w:before="200" w:after="40"/>
      </w:pPr>
      <w:r>
        <w:rPr>
          <w:b/>
          <w:color w:val="2E74B5"/>
          <w:sz w:val="24"/>
        </w:rPr>
        <w:t>Proveedores externos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568A"/>
          </w:tcPr>
          <w:p>
            <w:r>
              <w:rPr>
                <w:b/>
                <w:color w:val="FFFFFF"/>
              </w:rPr>
              <w:t>Proveedor</w:t>
            </w:r>
          </w:p>
        </w:tc>
        <w:tc>
          <w:tcPr>
            <w:tcW w:type="dxa" w:w="4032"/>
            <w:shd w:val="clear" w:color="auto" w:fill="1A568A"/>
          </w:tcPr>
          <w:p>
            <w:r>
              <w:rPr>
                <w:b/>
                <w:color w:val="FFFFFF"/>
              </w:rPr>
              <w:t>Qué aporta</w:t>
            </w:r>
          </w:p>
        </w:tc>
        <w:tc>
          <w:tcPr>
            <w:tcW w:type="dxa" w:w="3168"/>
            <w:shd w:val="clear" w:color="auto" w:fill="1A568A"/>
          </w:tcPr>
          <w:p>
            <w:r>
              <w:rPr>
                <w:b/>
                <w:color w:val="FFFFFF"/>
              </w:rPr>
              <w:t>Cómo se accede</w:t>
            </w:r>
          </w:p>
        </w:tc>
      </w:tr>
      <w:tr>
        <w:tc>
          <w:tcPr>
            <w:tcW w:type="dxa" w:w="2592"/>
            <w:shd w:val="clear" w:color="auto" w:fill="DDEEFF"/>
          </w:tcPr>
          <w:p>
            <w:r>
              <w:t>NHC (National Hurricane Center)</w:t>
            </w:r>
          </w:p>
        </w:tc>
        <w:tc>
          <w:tcPr>
            <w:tcW w:type="dxa" w:w="4032"/>
            <w:shd w:val="clear" w:color="auto" w:fill="DDEEFF"/>
          </w:tcPr>
          <w:p>
            <w:r>
              <w:t>Posición, intensidad y velocidad de ciclones activos</w:t>
            </w:r>
          </w:p>
        </w:tc>
        <w:tc>
          <w:tcPr>
            <w:tcW w:type="dxa" w:w="3168"/>
            <w:shd w:val="clear" w:color="auto" w:fill="DDEEFF"/>
          </w:tcPr>
          <w:p>
            <w:r>
              <w:t>JSON público, sin autenticación</w:t>
            </w:r>
          </w:p>
        </w:tc>
      </w:tr>
      <w:tr>
        <w:tc>
          <w:tcPr>
            <w:tcW w:type="dxa" w:w="2592"/>
            <w:shd w:val="clear" w:color="auto" w:fill="FFFFFF"/>
          </w:tcPr>
          <w:p>
            <w:r>
              <w:t>OpenWeather (OneCall 3.0)</w:t>
            </w:r>
          </w:p>
        </w:tc>
        <w:tc>
          <w:tcPr>
            <w:tcW w:type="dxa" w:w="4032"/>
            <w:shd w:val="clear" w:color="auto" w:fill="FFFFFF"/>
          </w:tcPr>
          <w:p>
            <w:r>
              <w:t>Condiciones actuales + alertas meteorológicas por coordenada</w:t>
            </w:r>
          </w:p>
        </w:tc>
        <w:tc>
          <w:tcPr>
            <w:tcW w:type="dxa" w:w="3168"/>
            <w:shd w:val="clear" w:color="auto" w:fill="FFFFFF"/>
          </w:tcPr>
          <w:p>
            <w:r>
              <w:t>REST API con API key</w:t>
            </w:r>
          </w:p>
        </w:tc>
      </w:tr>
      <w:tr>
        <w:tc>
          <w:tcPr>
            <w:tcW w:type="dxa" w:w="2592"/>
            <w:shd w:val="clear" w:color="auto" w:fill="DDEEFF"/>
          </w:tcPr>
          <w:p>
            <w:r>
              <w:t>SMN/CONAGUA</w:t>
            </w:r>
          </w:p>
        </w:tc>
        <w:tc>
          <w:tcPr>
            <w:tcW w:type="dxa" w:w="4032"/>
            <w:shd w:val="clear" w:color="auto" w:fill="DDEEFF"/>
          </w:tcPr>
          <w:p>
            <w:r>
              <w:t>Boletín meteorológico nacional diario</w:t>
            </w:r>
          </w:p>
        </w:tc>
        <w:tc>
          <w:tcPr>
            <w:tcW w:type="dxa" w:w="3168"/>
            <w:shd w:val="clear" w:color="auto" w:fill="DDEEFF"/>
          </w:tcPr>
          <w:p>
            <w:r>
              <w:t>Scraping HTML del sitio oficial</w:t>
            </w:r>
          </w:p>
        </w:tc>
      </w:tr>
    </w:tbl>
    <w:p/>
    <w:p>
      <w:pPr>
        <w:spacing w:before="360" w:after="120"/>
      </w:pPr>
      <w:r>
        <w:rPr>
          <w:b/>
          <w:color w:val="1A568A"/>
          <w:sz w:val="36"/>
        </w:rPr>
        <w:t>2. Alerts</w:t>
      </w:r>
    </w:p>
    <w:p>
      <w:pPr>
        <w:pBdr>
          <w:bottom w:val="single" w:sz="6" w:space="1" w:color="1A568A"/>
        </w:pBdr>
        <w:spacing w:before="80" w:after="160"/>
      </w:pPr>
    </w:p>
    <w:p>
      <w:pPr>
        <w:spacing w:before="200" w:after="40"/>
      </w:pPr>
      <w:r>
        <w:rPr>
          <w:b/>
          <w:color w:val="2E74B5"/>
          <w:sz w:val="24"/>
        </w:rPr>
        <w:t>Qué hace el módulo</w:t>
      </w:r>
    </w:p>
    <w:p>
      <w:pPr>
        <w:spacing w:after="120"/>
      </w:pPr>
      <w:r>
        <w:t>El módulo alerts tiene dos responsabilidades principales: mantener un registro de alertas del sistema (creadas manualmente por un administrador) y actuar como punto de entrada unificado para todo el consumo de alertas por parte del cliente móvil, a través del endpoint /alerts/active.</w:t>
      </w:r>
    </w:p>
    <w:p>
      <w:pPr>
        <w:spacing w:before="200" w:after="40"/>
      </w:pPr>
      <w:r>
        <w:rPr>
          <w:b/>
          <w:color w:val="2E74B5"/>
          <w:sz w:val="24"/>
        </w:rPr>
        <w:t>Endpoints disponibles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08"/>
            <w:shd w:val="clear" w:color="auto" w:fill="1A568A"/>
          </w:tcPr>
          <w:p>
            <w:r>
              <w:rPr>
                <w:b/>
                <w:color w:val="FFFFFF"/>
              </w:rPr>
              <w:t>Método</w:t>
            </w:r>
          </w:p>
        </w:tc>
        <w:tc>
          <w:tcPr>
            <w:tcW w:type="dxa" w:w="3168"/>
            <w:shd w:val="clear" w:color="auto" w:fill="1A568A"/>
          </w:tcPr>
          <w:p>
            <w:r>
              <w:rPr>
                <w:b/>
                <w:color w:val="FFFFFF"/>
              </w:rPr>
              <w:t>Ruta</w:t>
            </w:r>
          </w:p>
        </w:tc>
        <w:tc>
          <w:tcPr>
            <w:tcW w:type="dxa" w:w="2160"/>
            <w:shd w:val="clear" w:color="auto" w:fill="1A568A"/>
          </w:tcPr>
          <w:p>
            <w:r>
              <w:rPr>
                <w:b/>
                <w:color w:val="FFFFFF"/>
              </w:rPr>
              <w:t>Auth</w:t>
            </w:r>
          </w:p>
        </w:tc>
        <w:tc>
          <w:tcPr>
            <w:tcW w:type="dxa" w:w="3456"/>
            <w:shd w:val="clear" w:color="auto" w:fill="1A568A"/>
          </w:tcPr>
          <w:p>
            <w:r>
              <w:rPr>
                <w:b/>
                <w:color w:val="FFFFFF"/>
              </w:rPr>
              <w:t>Propósito</w:t>
            </w:r>
          </w:p>
        </w:tc>
      </w:tr>
      <w:tr>
        <w:tc>
          <w:tcPr>
            <w:tcW w:type="dxa" w:w="1008"/>
            <w:shd w:val="clear" w:color="auto" w:fill="DDEEFF"/>
          </w:tcPr>
          <w:p>
            <w:r>
              <w:t>POST</w:t>
            </w:r>
          </w:p>
        </w:tc>
        <w:tc>
          <w:tcPr>
            <w:tcW w:type="dxa" w:w="3168"/>
            <w:shd w:val="clear" w:color="auto" w:fill="DDEEFF"/>
          </w:tcPr>
          <w:p>
            <w:r>
              <w:t>/api/v1/alerts</w:t>
            </w:r>
          </w:p>
        </w:tc>
        <w:tc>
          <w:tcPr>
            <w:tcW w:type="dxa" w:w="2160"/>
            <w:shd w:val="clear" w:color="auto" w:fill="DDEEFF"/>
          </w:tcPr>
          <w:p>
            <w:r>
              <w:t>X-Api-Key</w:t>
            </w:r>
          </w:p>
        </w:tc>
        <w:tc>
          <w:tcPr>
            <w:tcW w:type="dxa" w:w="3456"/>
            <w:shd w:val="clear" w:color="auto" w:fill="DDEEFF"/>
          </w:tcPr>
          <w:p>
            <w:r>
              <w:t>Crear alerta de sistema (uso interno/admin)</w:t>
            </w:r>
          </w:p>
        </w:tc>
      </w:tr>
      <w:tr>
        <w:tc>
          <w:tcPr>
            <w:tcW w:type="dxa" w:w="1008"/>
            <w:shd w:val="clear" w:color="auto" w:fill="FFFFFF"/>
          </w:tcPr>
          <w:p>
            <w:r>
              <w:t>GET</w:t>
            </w:r>
          </w:p>
        </w:tc>
        <w:tc>
          <w:tcPr>
            <w:tcW w:type="dxa" w:w="3168"/>
            <w:shd w:val="clear" w:color="auto" w:fill="FFFFFF"/>
          </w:tcPr>
          <w:p>
            <w:r>
              <w:t>/api/v1/alerts</w:t>
            </w:r>
          </w:p>
        </w:tc>
        <w:tc>
          <w:tcPr>
            <w:tcW w:type="dxa" w:w="2160"/>
            <w:shd w:val="clear" w:color="auto" w:fill="FFFFFF"/>
          </w:tcPr>
          <w:p>
            <w:r>
              <w:t>Firebase Bearer</w:t>
            </w:r>
          </w:p>
        </w:tc>
        <w:tc>
          <w:tcPr>
            <w:tcW w:type="dxa" w:w="3456"/>
            <w:shd w:val="clear" w:color="auto" w:fill="FFFFFF"/>
          </w:tcPr>
          <w:p>
            <w:r>
              <w:t>Listar alertas del sistema (paginado)</w:t>
            </w:r>
          </w:p>
        </w:tc>
      </w:tr>
      <w:tr>
        <w:tc>
          <w:tcPr>
            <w:tcW w:type="dxa" w:w="1008"/>
            <w:shd w:val="clear" w:color="auto" w:fill="DDEEFF"/>
          </w:tcPr>
          <w:p>
            <w:r>
              <w:t>GET</w:t>
            </w:r>
          </w:p>
        </w:tc>
        <w:tc>
          <w:tcPr>
            <w:tcW w:type="dxa" w:w="3168"/>
            <w:shd w:val="clear" w:color="auto" w:fill="DDEEFF"/>
          </w:tcPr>
          <w:p>
            <w:r>
              <w:t>/api/v1/alerts/{id}</w:t>
            </w:r>
          </w:p>
        </w:tc>
        <w:tc>
          <w:tcPr>
            <w:tcW w:type="dxa" w:w="2160"/>
            <w:shd w:val="clear" w:color="auto" w:fill="DDEEFF"/>
          </w:tcPr>
          <w:p>
            <w:r>
              <w:t>Firebase Bearer</w:t>
            </w:r>
          </w:p>
        </w:tc>
        <w:tc>
          <w:tcPr>
            <w:tcW w:type="dxa" w:w="3456"/>
            <w:shd w:val="clear" w:color="auto" w:fill="DDEEFF"/>
          </w:tcPr>
          <w:p>
            <w:r>
              <w:t>Detalle de una alerta específica</w:t>
            </w:r>
          </w:p>
        </w:tc>
      </w:tr>
      <w:tr>
        <w:tc>
          <w:tcPr>
            <w:tcW w:type="dxa" w:w="1008"/>
            <w:shd w:val="clear" w:color="auto" w:fill="FFFFFF"/>
          </w:tcPr>
          <w:p>
            <w:r>
              <w:t>GET</w:t>
            </w:r>
          </w:p>
        </w:tc>
        <w:tc>
          <w:tcPr>
            <w:tcW w:type="dxa" w:w="3168"/>
            <w:shd w:val="clear" w:color="auto" w:fill="FFFFFF"/>
          </w:tcPr>
          <w:p>
            <w:r>
              <w:t>/api/v1/alerts/active</w:t>
            </w:r>
          </w:p>
        </w:tc>
        <w:tc>
          <w:tcPr>
            <w:tcW w:type="dxa" w:w="2160"/>
            <w:shd w:val="clear" w:color="auto" w:fill="FFFFFF"/>
          </w:tcPr>
          <w:p>
            <w:r>
              <w:t>Firebase Bearer</w:t>
            </w:r>
          </w:p>
        </w:tc>
        <w:tc>
          <w:tcPr>
            <w:tcW w:type="dxa" w:w="3456"/>
            <w:shd w:val="clear" w:color="auto" w:fill="FFFFFF"/>
          </w:tcPr>
          <w:p>
            <w:r>
              <w:t>Feed unificado personalizado por usuario</w:t>
            </w:r>
          </w:p>
        </w:tc>
      </w:tr>
      <w:tr>
        <w:tc>
          <w:tcPr>
            <w:tcW w:type="dxa" w:w="1008"/>
            <w:shd w:val="clear" w:color="auto" w:fill="DDEEFF"/>
          </w:tcPr>
          <w:p>
            <w:r>
              <w:t>GET</w:t>
            </w:r>
          </w:p>
        </w:tc>
        <w:tc>
          <w:tcPr>
            <w:tcW w:type="dxa" w:w="3168"/>
            <w:shd w:val="clear" w:color="auto" w:fill="DDEEFF"/>
          </w:tcPr>
          <w:p>
            <w:r>
              <w:t>/api/v1/alerts/weather</w:t>
            </w:r>
          </w:p>
        </w:tc>
        <w:tc>
          <w:tcPr>
            <w:tcW w:type="dxa" w:w="2160"/>
            <w:shd w:val="clear" w:color="auto" w:fill="DDEEFF"/>
          </w:tcPr>
          <w:p>
            <w:r>
              <w:t>Firebase Bearer</w:t>
            </w:r>
          </w:p>
        </w:tc>
        <w:tc>
          <w:tcPr>
            <w:tcW w:type="dxa" w:w="3456"/>
            <w:shd w:val="clear" w:color="auto" w:fill="DDEEFF"/>
          </w:tcPr>
          <w:p>
            <w:r>
              <w:t>Clima actual + alertas por coordenada</w:t>
            </w:r>
          </w:p>
        </w:tc>
      </w:tr>
      <w:tr>
        <w:tc>
          <w:tcPr>
            <w:tcW w:type="dxa" w:w="1008"/>
            <w:shd w:val="clear" w:color="auto" w:fill="FFFFFF"/>
          </w:tcPr>
          <w:p>
            <w:r>
              <w:t>GET</w:t>
            </w:r>
          </w:p>
        </w:tc>
        <w:tc>
          <w:tcPr>
            <w:tcW w:type="dxa" w:w="3168"/>
            <w:shd w:val="clear" w:color="auto" w:fill="FFFFFF"/>
          </w:tcPr>
          <w:p>
            <w:r>
              <w:t>/api/v1/alerts/weather/mx</w:t>
            </w:r>
          </w:p>
        </w:tc>
        <w:tc>
          <w:tcPr>
            <w:tcW w:type="dxa" w:w="2160"/>
            <w:shd w:val="clear" w:color="auto" w:fill="FFFFFF"/>
          </w:tcPr>
          <w:p>
            <w:r>
              <w:t>Firebase Bearer</w:t>
            </w:r>
          </w:p>
        </w:tc>
        <w:tc>
          <w:tcPr>
            <w:tcW w:type="dxa" w:w="3456"/>
            <w:shd w:val="clear" w:color="auto" w:fill="FFFFFF"/>
          </w:tcPr>
          <w:p>
            <w:r>
              <w:t>Panorama meteorológico de 12 puntos de México</w:t>
            </w:r>
          </w:p>
        </w:tc>
      </w:tr>
    </w:tbl>
    <w:p/>
    <w:p>
      <w:pPr>
        <w:spacing w:before="200" w:after="40"/>
      </w:pPr>
      <w:r>
        <w:rPr>
          <w:b/>
          <w:color w:val="2E74B5"/>
          <w:sz w:val="24"/>
        </w:rPr>
        <w:t>Datos que devuelve</w:t>
      </w:r>
    </w:p>
    <w:p>
      <w:pPr>
        <w:spacing w:after="120"/>
      </w:pPr>
      <w:r>
        <w:t>Las alertas del sistema (AlertSummary) exponen: identificador UUID, timestamp de creación, nivel de severidad 1–5 en escala SIAT, puntuación de riesgo, título y descripción corta. El detalle (AlertDetail) añade coordenadas geográficas, lista de factores de riesgo y recomendaciones en formato JSON.</w:t>
      </w:r>
    </w:p>
    <w:p>
      <w:pPr>
        <w:spacing w:before="200" w:after="40"/>
      </w:pPr>
      <w:r>
        <w:rPr>
          <w:b/>
          <w:color w:val="2E74B5"/>
          <w:sz w:val="24"/>
        </w:rPr>
        <w:t>Cómo se construyen las alertas de sistema</w:t>
      </w:r>
    </w:p>
    <w:p>
      <w:pPr>
        <w:spacing w:after="120"/>
      </w:pPr>
      <w:r>
        <w:t>Las alertas son creadas a través del endpoint POST /api/v1/alerts con autenticación por API key. El nivel aceptado es entero de 1 a 5, mapeado directamente a la escala SIAT-CT. Se persisten en PostgreSQL con gen_random_uuid() como identificador.</w:t>
      </w:r>
    </w:p>
    <w:p>
      <w:pPr>
        <w:spacing w:before="360" w:after="120"/>
      </w:pPr>
      <w:r>
        <w:rPr>
          <w:b/>
          <w:color w:val="1A568A"/>
          <w:sz w:val="36"/>
        </w:rPr>
        <w:t>3. Endpoint /api/v1/alerts/active</w:t>
      </w:r>
    </w:p>
    <w:p>
      <w:pPr>
        <w:pBdr>
          <w:bottom w:val="single" w:sz="6" w:space="1" w:color="1A568A"/>
        </w:pBdr>
        <w:spacing w:before="80" w:after="160"/>
      </w:pPr>
    </w:p>
    <w:p>
      <w:pPr>
        <w:spacing w:before="200" w:after="40"/>
      </w:pPr>
      <w:r>
        <w:rPr>
          <w:b/>
          <w:color w:val="2E74B5"/>
          <w:sz w:val="24"/>
        </w:rPr>
        <w:t>Por qué es el endpoint principal</w:t>
      </w:r>
    </w:p>
    <w:p>
      <w:pPr>
        <w:spacing w:after="120"/>
      </w:pPr>
      <w:r>
        <w:t>Este es el endpoint que consume la pantalla principal de la app móvil. En lugar de obligar al cliente a hacer tres llamadas separadas (SIAT, alertas del sistema, boletín SMN), el backend las agrega en una sola respuesta estructurada con prioridad explícita. Esto reduce latencia del cliente, centraliza la lógica de priorización y mantiene el frontend simple.</w:t>
      </w:r>
    </w:p>
    <w:p>
      <w:pPr>
        <w:spacing w:before="200" w:after="40"/>
      </w:pPr>
      <w:r>
        <w:rPr>
          <w:b/>
          <w:color w:val="2E74B5"/>
          <w:sz w:val="24"/>
        </w:rPr>
        <w:t>Campos de la respuesta (ActiveAlertsResponse)</w:t>
      </w:r>
    </w:p>
    <w:p>
      <w:pPr>
        <w:spacing w:after="120"/>
      </w:pPr>
      <w:r>
        <w:rPr>
          <w:b/>
        </w:rPr>
        <w:t xml:space="preserve">generated_at:  </w:t>
      </w:r>
      <w:r>
        <w:rPr>
          <w:b w:val="0"/>
        </w:rPr>
        <w:t>Timestamp UTC del momento exacto en que el servidor construyó la respuesta. Permite al cliente saber qué tan reciente es la información y detectar respuestas cacheadas.</w:t>
      </w:r>
    </w:p>
    <w:p>
      <w:pPr>
        <w:spacing w:after="120"/>
      </w:pPr>
      <w:r>
        <w:rPr>
          <w:b/>
        </w:rPr>
        <w:t xml:space="preserve">user_siat:  </w:t>
      </w:r>
      <w:r>
        <w:rPr>
          <w:b w:val="0"/>
        </w:rPr>
        <w:t>Estado SIAT personalizado del usuario autenticado. Contiene nivel actual (1–5), color correspondiente, razón detallada (nombre del ciclón, distancia, vientos, ETA) y fecha de última actualización. Es null si el usuario no tiene perfil con coordenadas.</w:t>
      </w:r>
    </w:p>
    <w:p>
      <w:pPr>
        <w:spacing w:after="120"/>
      </w:pPr>
      <w:r>
        <w:rPr>
          <w:b/>
        </w:rPr>
        <w:t xml:space="preserve">cyclonic_alerts:  </w:t>
      </w:r>
      <w:r>
        <w:rPr>
          <w:b w:val="0"/>
        </w:rPr>
        <w:t>Lista de alertas accionables derivadas del SIAT. Solo se popula cuando el nivel es VERDE (2) o superior. Nivel AZUL (1) es solo informativo y no genera alerta visible al usuario.</w:t>
      </w:r>
    </w:p>
    <w:p>
      <w:pPr>
        <w:spacing w:after="120"/>
      </w:pPr>
      <w:r>
        <w:rPr>
          <w:b/>
        </w:rPr>
        <w:t xml:space="preserve">general_alerts:  </w:t>
      </w:r>
      <w:r>
        <w:rPr>
          <w:b w:val="0"/>
        </w:rPr>
        <w:t>Últimas 5 alertas creadas por administración del sistema. Misma estructura que las alertas ciclónicas pero con fuente SYSTEM.</w:t>
      </w:r>
    </w:p>
    <w:p>
      <w:pPr>
        <w:spacing w:after="120"/>
      </w:pPr>
      <w:r>
        <w:rPr>
          <w:b/>
        </w:rPr>
        <w:t xml:space="preserve">smn_bulletin:  </w:t>
      </w:r>
      <w:r>
        <w:rPr>
          <w:b w:val="0"/>
        </w:rPr>
        <w:t>Boletín más reciente del SMN. Contiene número de aviso, fecha/hora de emisión, titular, resumen del pronóstico y enlace al PDF oficial. Puede ser null sin afectar los otros campos.</w:t>
      </w:r>
    </w:p>
    <w:p>
      <w:pPr>
        <w:spacing w:before="200" w:after="40"/>
      </w:pPr>
      <w:r>
        <w:rPr>
          <w:b/>
          <w:color w:val="2E74B5"/>
          <w:sz w:val="24"/>
        </w:rPr>
        <w:t>Prioridad de las fuentes</w:t>
      </w:r>
    </w:p>
    <w:p>
      <w:pPr>
        <w:spacing w:before="80" w:after="80"/>
        <w:ind w:left="576"/>
        <w:shd w:val="clear" w:color="auto" w:fill="F2F2F2"/>
      </w:pPr>
      <w:r>
        <w:rPr>
          <w:rFonts w:ascii="Courier New" w:hAnsi="Courier New"/>
          <w:color w:val="1F1F1F"/>
          <w:sz w:val="18"/>
        </w:rPr>
        <w:t>SIAT-CT  (riesgo ciclónico personalizado)   ← fuente primaria</w:t>
        <w:br/>
        <w:t xml:space="preserve">     ↓</w:t>
        <w:br/>
        <w:t>Alertas de sistema  (alertas admin)          ← fuente secundaria</w:t>
        <w:br/>
        <w:t xml:space="preserve">     ↓</w:t>
        <w:br/>
        <w:t>Boletín SMN  (información meteorológica)     ← fuente complementaria, best-effort</w:t>
      </w:r>
    </w:p>
    <w:p>
      <w:pPr>
        <w:spacing w:before="360" w:after="120"/>
      </w:pPr>
      <w:r>
        <w:rPr>
          <w:b/>
          <w:color w:val="1A568A"/>
          <w:sz w:val="36"/>
        </w:rPr>
        <w:t>4. SIAT-CT</w:t>
      </w:r>
    </w:p>
    <w:p>
      <w:pPr>
        <w:pBdr>
          <w:bottom w:val="single" w:sz="6" w:space="1" w:color="1A568A"/>
        </w:pBdr>
        <w:spacing w:before="80" w:after="160"/>
      </w:pPr>
    </w:p>
    <w:p>
      <w:pPr>
        <w:spacing w:before="200" w:after="40"/>
      </w:pPr>
      <w:r>
        <w:rPr>
          <w:b/>
          <w:color w:val="2E74B5"/>
          <w:sz w:val="24"/>
        </w:rPr>
        <w:t>Qué es SIAT</w:t>
      </w:r>
    </w:p>
    <w:p>
      <w:pPr>
        <w:spacing w:after="120"/>
      </w:pPr>
      <w:r>
        <w:t>El Sistema de Alerta Temprana para Ciclones Tropicales (SIAT-CT) es el sistema oficial de México para comunicar el nivel de riesgo ciclónico a la población. Define cinco niveles de alerta, cada uno con un color y un tiempo de anticipación estimado al impacto.</w:t>
      </w:r>
    </w:p>
    <w:tbl>
      <w:tblPr>
        <w:tblStyle w:val="TableGrid"/>
        <w:tblW w:type="auto" w:w="0"/>
        <w:jc w:val="left"/>
        <w:tblLook w:firstColumn="1" w:firstRow="1" w:lastColumn="0" w:lastRow="0" w:noHBand="0" w:noVBand="1" w:val="04A0"/>
      </w:tblPr>
      <w:tblGrid>
        <w:gridCol w:w="3135"/>
        <w:gridCol w:w="3135"/>
        <w:gridCol w:w="3135"/>
      </w:tblGrid>
      <w:tr>
        <w:tc>
          <w:tcPr>
            <w:tcW w:type="dxa" w:w="1008"/>
            <w:shd w:val="clear" w:color="auto" w:fill="1A568A"/>
          </w:tcPr>
          <w:p>
            <w:r>
              <w:rPr>
                <w:b/>
                <w:color w:val="FFFFFF"/>
              </w:rPr>
              <w:t>Nivel</w:t>
            </w:r>
          </w:p>
        </w:tc>
        <w:tc>
          <w:tcPr>
            <w:tcW w:type="dxa" w:w="1728"/>
            <w:shd w:val="clear" w:color="auto" w:fill="1A568A"/>
          </w:tcPr>
          <w:p>
            <w:r>
              <w:rPr>
                <w:b/>
                <w:color w:val="FFFFFF"/>
              </w:rPr>
              <w:t>Color</w:t>
            </w:r>
          </w:p>
        </w:tc>
        <w:tc>
          <w:tcPr>
            <w:tcW w:type="dxa" w:w="6912"/>
            <w:shd w:val="clear" w:color="auto" w:fill="1A568A"/>
          </w:tcPr>
          <w:p>
            <w:r>
              <w:rPr>
                <w:b/>
                <w:color w:val="FFFFFF"/>
              </w:rPr>
              <w:t>Tiempo estimado al impacto</w:t>
            </w:r>
          </w:p>
        </w:tc>
      </w:tr>
      <w:tr>
        <w:tc>
          <w:tcPr>
            <w:tcW w:type="dxa" w:w="1008"/>
            <w:shd w:val="clear" w:color="auto" w:fill="DDEEFF"/>
          </w:tcPr>
          <w:p>
            <w:r>
              <w:t>1</w:t>
            </w:r>
          </w:p>
        </w:tc>
        <w:tc>
          <w:tcPr>
            <w:tcW w:type="dxa" w:w="1728"/>
            <w:shd w:val="clear" w:color="auto" w:fill="DDEEFF"/>
          </w:tcPr>
          <w:p>
            <w:r>
              <w:t>AZUL</w:t>
            </w:r>
          </w:p>
        </w:tc>
        <w:tc>
          <w:tcPr>
            <w:tcW w:type="dxa" w:w="6912"/>
            <w:shd w:val="clear" w:color="auto" w:fill="DDEEFF"/>
          </w:tcPr>
          <w:p>
            <w:r>
              <w:t>Aviso preventivo — más de 72 horas</w:t>
            </w:r>
          </w:p>
        </w:tc>
      </w:tr>
      <w:tr>
        <w:tc>
          <w:tcPr>
            <w:tcW w:type="dxa" w:w="1008"/>
            <w:shd w:val="clear" w:color="auto" w:fill="FFFFFF"/>
          </w:tcPr>
          <w:p>
            <w:r>
              <w:t>2</w:t>
            </w:r>
          </w:p>
        </w:tc>
        <w:tc>
          <w:tcPr>
            <w:tcW w:type="dxa" w:w="1728"/>
            <w:shd w:val="clear" w:color="auto" w:fill="FFFFFF"/>
          </w:tcPr>
          <w:p>
            <w:r>
              <w:t>VERDE</w:t>
            </w:r>
          </w:p>
        </w:tc>
        <w:tc>
          <w:tcPr>
            <w:tcW w:type="dxa" w:w="6912"/>
            <w:shd w:val="clear" w:color="auto" w:fill="FFFFFF"/>
          </w:tcPr>
          <w:p>
            <w:r>
              <w:t>Preparación — 24 a 72 horas</w:t>
            </w:r>
          </w:p>
        </w:tc>
      </w:tr>
      <w:tr>
        <w:tc>
          <w:tcPr>
            <w:tcW w:type="dxa" w:w="1008"/>
            <w:shd w:val="clear" w:color="auto" w:fill="DDEEFF"/>
          </w:tcPr>
          <w:p>
            <w:r>
              <w:t>3</w:t>
            </w:r>
          </w:p>
        </w:tc>
        <w:tc>
          <w:tcPr>
            <w:tcW w:type="dxa" w:w="1728"/>
            <w:shd w:val="clear" w:color="auto" w:fill="DDEEFF"/>
          </w:tcPr>
          <w:p>
            <w:r>
              <w:t>AMARILLO</w:t>
            </w:r>
          </w:p>
        </w:tc>
        <w:tc>
          <w:tcPr>
            <w:tcW w:type="dxa" w:w="6912"/>
            <w:shd w:val="clear" w:color="auto" w:fill="DDEEFF"/>
          </w:tcPr>
          <w:p>
            <w:r>
              <w:t>Alerta — 12 a 24 horas</w:t>
            </w:r>
          </w:p>
        </w:tc>
      </w:tr>
      <w:tr>
        <w:tc>
          <w:tcPr>
            <w:tcW w:type="dxa" w:w="1008"/>
            <w:shd w:val="clear" w:color="auto" w:fill="FFFFFF"/>
          </w:tcPr>
          <w:p>
            <w:r>
              <w:t>4</w:t>
            </w:r>
          </w:p>
        </w:tc>
        <w:tc>
          <w:tcPr>
            <w:tcW w:type="dxa" w:w="1728"/>
            <w:shd w:val="clear" w:color="auto" w:fill="FFFFFF"/>
          </w:tcPr>
          <w:p>
            <w:r>
              <w:t>NARANJA</w:t>
            </w:r>
          </w:p>
        </w:tc>
        <w:tc>
          <w:tcPr>
            <w:tcW w:type="dxa" w:w="6912"/>
            <w:shd w:val="clear" w:color="auto" w:fill="FFFFFF"/>
          </w:tcPr>
          <w:p>
            <w:r>
              <w:t>Peligro alto — 6 a 12 horas</w:t>
            </w:r>
          </w:p>
        </w:tc>
      </w:tr>
      <w:tr>
        <w:tc>
          <w:tcPr>
            <w:tcW w:type="dxa" w:w="1008"/>
            <w:shd w:val="clear" w:color="auto" w:fill="DDEEFF"/>
          </w:tcPr>
          <w:p>
            <w:r>
              <w:t>5</w:t>
            </w:r>
          </w:p>
        </w:tc>
        <w:tc>
          <w:tcPr>
            <w:tcW w:type="dxa" w:w="1728"/>
            <w:shd w:val="clear" w:color="auto" w:fill="DDEEFF"/>
          </w:tcPr>
          <w:p>
            <w:r>
              <w:t>ROJO</w:t>
            </w:r>
          </w:p>
        </w:tc>
        <w:tc>
          <w:tcPr>
            <w:tcW w:type="dxa" w:w="6912"/>
            <w:shd w:val="clear" w:color="auto" w:fill="DDEEFF"/>
          </w:tcPr>
          <w:p>
            <w:r>
              <w:t>Impacto inminente — menos de 6 horas</w:t>
            </w:r>
          </w:p>
        </w:tc>
      </w:tr>
    </w:tbl>
    <w:p/>
    <w:p>
      <w:pPr>
        <w:spacing w:after="120"/>
      </w:pPr>
      <w:r>
        <w:t>No existe una API oficial del SIAT-CT. BluEye deriva estos niveles localmente a partir de datos reales del NHC (National Hurricane Center).</w:t>
      </w:r>
    </w:p>
    <w:p>
      <w:pPr>
        <w:spacing w:before="200" w:after="40"/>
      </w:pPr>
      <w:r>
        <w:rPr>
          <w:b/>
          <w:color w:val="2E74B5"/>
          <w:sz w:val="24"/>
        </w:rPr>
        <w:t>Capas de la implementación</w:t>
      </w:r>
    </w:p>
    <w:p>
      <w:pPr>
        <w:spacing w:after="120"/>
      </w:pPr>
      <w:r>
        <w:rPr>
          <w:b/>
        </w:rPr>
        <w:t xml:space="preserve">Proveedor NHC (siat/providers/nhc.py):  </w:t>
      </w:r>
      <w:r>
        <w:rPr>
          <w:b w:val="0"/>
        </w:rPr>
        <w:t>Consulta el feed público CurrentStorms.json del NHC. Por cada tormenta normaliza los campos: convierte viento de nudos a km/h (× 1.852), velocidad de movimiento de mph a km/h (× 1.60934), y extrae posición, presión, dirección de movimiento y clasificación (TD/TS/HU).</w:t>
      </w:r>
    </w:p>
    <w:p>
      <w:pPr>
        <w:spacing w:after="120"/>
      </w:pPr>
      <w:r>
        <w:rPr>
          <w:b/>
        </w:rPr>
        <w:t xml:space="preserve">Evaluador (siat/evaluator.py):  </w:t>
      </w:r>
      <w:r>
        <w:rPr>
          <w:b w:val="0"/>
        </w:rPr>
        <w:t>Recibe la posición del usuario y los datos del ciclón, y calcula el nivel de riesgo. Es una función pura, sin estado ni acceso a base de datos.</w:t>
      </w:r>
    </w:p>
    <w:p>
      <w:pPr>
        <w:spacing w:after="120"/>
      </w:pPr>
      <w:r>
        <w:rPr>
          <w:b/>
        </w:rPr>
        <w:t xml:space="preserve">Servicio-orquestador (siat/service.py):  </w:t>
      </w:r>
      <w:r>
        <w:rPr>
          <w:b w:val="0"/>
        </w:rPr>
        <w:t>Coordina el ciclo completo: obtiene ciclones del NHC, obtiene usuarios con ubicación, ejecuta el evaluador para cada par usuario-ciclón, persiste resultados, determina escalaciones y envía notificaciones push.</w:t>
      </w:r>
    </w:p>
    <w:p>
      <w:pPr>
        <w:spacing w:before="200" w:after="40"/>
      </w:pPr>
      <w:r>
        <w:rPr>
          <w:b/>
          <w:color w:val="2E74B5"/>
          <w:sz w:val="24"/>
        </w:rPr>
        <w:t>Cálculo del riesgo — Estrategia ETA (caso normal)</w:t>
      </w:r>
    </w:p>
    <w:p>
      <w:pPr>
        <w:spacing w:after="120"/>
      </w:pPr>
      <w:r>
        <w:t>Primero calcula la distancia entre el usuario y el ciclón con la fórmula de Haversine, que considera la curvatura de la Tierra. Luego calcula el tiempo estimado de llegada:</w:t>
      </w:r>
    </w:p>
    <w:p>
      <w:pPr>
        <w:spacing w:before="80" w:after="80"/>
        <w:ind w:left="576"/>
        <w:shd w:val="clear" w:color="auto" w:fill="F2F2F2"/>
      </w:pPr>
      <w:r>
        <w:rPr>
          <w:rFonts w:ascii="Courier New" w:hAnsi="Courier New"/>
          <w:color w:val="1F1F1F"/>
          <w:sz w:val="18"/>
        </w:rPr>
        <w:t>ETA (horas) = distancia_km / velocidad_movimiento_kmh</w:t>
      </w:r>
    </w:p>
    <w:p>
      <w:pPr>
        <w:spacing w:after="120"/>
      </w:pPr>
      <w:r>
        <w:t>El nivel SIAT se determina directamente del ETA:</w:t>
      </w:r>
    </w:p>
    <w:p>
      <w:pPr>
        <w:spacing w:before="80" w:after="80"/>
        <w:ind w:left="576"/>
        <w:shd w:val="clear" w:color="auto" w:fill="F2F2F2"/>
      </w:pPr>
      <w:r>
        <w:rPr>
          <w:rFonts w:ascii="Courier New" w:hAnsi="Courier New"/>
          <w:color w:val="1F1F1F"/>
          <w:sz w:val="18"/>
        </w:rPr>
        <w:t>ETA &lt; 6h      →  ROJO    (5)</w:t>
        <w:br/>
        <w:t>ETA 6 - 12h   →  NARANJA (4)</w:t>
        <w:br/>
        <w:t>ETA 12 - 24h  →  AMARILLO(3)</w:t>
        <w:br/>
        <w:t>ETA 24 - 72h  →  VERDE   (2)</w:t>
        <w:br/>
        <w:t>ETA &gt; 72h     →  AZUL    (1)</w:t>
      </w:r>
    </w:p>
    <w:p>
      <w:pPr>
        <w:spacing w:before="200" w:after="40"/>
      </w:pPr>
      <w:r>
        <w:rPr>
          <w:b/>
          <w:color w:val="2E74B5"/>
          <w:sz w:val="24"/>
        </w:rPr>
        <w:t>Casos especiales</w:t>
      </w:r>
    </w:p>
    <w:p>
      <w:pPr>
        <w:spacing w:after="120"/>
      </w:pPr>
      <w:r>
        <w:rPr>
          <w:b/>
        </w:rPr>
        <w:t xml:space="preserve">Ciclón lejano (más de 1,500 km):  </w:t>
      </w:r>
      <w:r>
        <w:rPr>
          <w:b w:val="0"/>
        </w:rPr>
        <w:t>El evaluador retorna con out_of_range = True. El servicio detecta este flag y omite completamente la escritura en DB y el envío de notificaciones. Más allá de 1,500 km, incluso a 20 km/h, el ciclón tardaría &gt; 75 horas — los assessments serían ruido operativo sin valor.</w:t>
      </w:r>
    </w:p>
    <w:p>
      <w:pPr>
        <w:spacing w:after="120"/>
      </w:pPr>
      <w:r>
        <w:rPr>
          <w:b/>
        </w:rPr>
        <w:t xml:space="preserve">Ciclón estacionario (velocidad = 0):  </w:t>
      </w:r>
      <w:r>
        <w:rPr>
          <w:b w:val="0"/>
        </w:rPr>
        <w:t>El ETA es matemáticamente indefinido. Se usa una estrategia de respaldo basada en distancia e intensidad, con umbrales más conservadores para reflejar el peligro sostenido de un ciclón estancado:</w:t>
      </w:r>
    </w:p>
    <w:p>
      <w:pPr>
        <w:spacing w:before="80" w:after="80"/>
        <w:ind w:left="576"/>
        <w:shd w:val="clear" w:color="auto" w:fill="F2F2F2"/>
      </w:pPr>
      <w:r>
        <w:rPr>
          <w:rFonts w:ascii="Courier New" w:hAnsi="Courier New"/>
          <w:color w:val="1F1F1F"/>
          <w:sz w:val="18"/>
        </w:rPr>
        <w:t>&lt; 150 km  Y  vientos ≥ 150 km/h  →  ROJO    (5)</w:t>
        <w:br/>
        <w:t>&lt; 300 km  Y  vientos ≥ 100 km/h  →  NARANJA (4)</w:t>
        <w:br/>
        <w:t>&lt; 500 km  Y  vientos ≥  75 km/h  →  AMARILLO(3)</w:t>
        <w:br/>
        <w:t>&lt; 700 km                          →  VERDE   (2)</w:t>
        <w:br/>
        <w:t>Resto                             →  AZUL    (1)</w:t>
      </w:r>
    </w:p>
    <w:p>
      <w:pPr>
        <w:spacing w:after="120"/>
      </w:pPr>
      <w:r>
        <w:rPr>
          <w:b/>
        </w:rPr>
        <w:t xml:space="preserve">Ciclón rápido acercándose:  </w:t>
      </w:r>
      <w:r>
        <w:rPr>
          <w:b w:val="0"/>
        </w:rPr>
        <w:t>No requiere lógica especial. Un ciclón a 68 km moviéndose a 30 km/h tiene ETA = 2.3 horas → nivel ROJO (5). La fórmula ETA maneja esto naturalmente.</w:t>
      </w:r>
    </w:p>
    <w:p>
      <w:pPr>
        <w:spacing w:before="200" w:after="40"/>
      </w:pPr>
      <w:r>
        <w:rPr>
          <w:b/>
          <w:color w:val="2E74B5"/>
          <w:sz w:val="24"/>
        </w:rPr>
        <w:t>Variables que usa el evaluador</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A568A"/>
          </w:tcPr>
          <w:p>
            <w:r>
              <w:rPr>
                <w:b/>
                <w:color w:val="FFFFFF"/>
              </w:rPr>
              <w:t>Variable</w:t>
            </w:r>
          </w:p>
        </w:tc>
        <w:tc>
          <w:tcPr>
            <w:tcW w:type="dxa" w:w="3600"/>
            <w:shd w:val="clear" w:color="auto" w:fill="1A568A"/>
          </w:tcPr>
          <w:p>
            <w:r>
              <w:rPr>
                <w:b/>
                <w:color w:val="FFFFFF"/>
              </w:rPr>
              <w:t>Fuente</w:t>
            </w:r>
          </w:p>
        </w:tc>
        <w:tc>
          <w:tcPr>
            <w:tcW w:type="dxa" w:w="3888"/>
            <w:shd w:val="clear" w:color="auto" w:fill="1A568A"/>
          </w:tcPr>
          <w:p>
            <w:r>
              <w:rPr>
                <w:b/>
                <w:color w:val="FFFFFF"/>
              </w:rPr>
              <w:t>Uso</w:t>
            </w:r>
          </w:p>
        </w:tc>
      </w:tr>
      <w:tr>
        <w:tc>
          <w:tcPr>
            <w:tcW w:type="dxa" w:w="2160"/>
            <w:shd w:val="clear" w:color="auto" w:fill="DDEEFF"/>
          </w:tcPr>
          <w:p>
            <w:r>
              <w:t>lat/lon del usuario</w:t>
            </w:r>
          </w:p>
        </w:tc>
        <w:tc>
          <w:tcPr>
            <w:tcW w:type="dxa" w:w="3600"/>
            <w:shd w:val="clear" w:color="auto" w:fill="DDEEFF"/>
          </w:tcPr>
          <w:p>
            <w:r>
              <w:t>Tabla users (guardada por la app)</w:t>
            </w:r>
          </w:p>
        </w:tc>
        <w:tc>
          <w:tcPr>
            <w:tcW w:type="dxa" w:w="3888"/>
            <w:shd w:val="clear" w:color="auto" w:fill="DDEEFF"/>
          </w:tcPr>
          <w:p>
            <w:r>
              <w:t>Punto de referencia para Haversine</w:t>
            </w:r>
          </w:p>
        </w:tc>
      </w:tr>
      <w:tr>
        <w:tc>
          <w:tcPr>
            <w:tcW w:type="dxa" w:w="2160"/>
            <w:shd w:val="clear" w:color="auto" w:fill="FFFFFF"/>
          </w:tcPr>
          <w:p>
            <w:r>
              <w:t>lat/lon del ciclón</w:t>
            </w:r>
          </w:p>
        </w:tc>
        <w:tc>
          <w:tcPr>
            <w:tcW w:type="dxa" w:w="3600"/>
            <w:shd w:val="clear" w:color="auto" w:fill="FFFFFF"/>
          </w:tcPr>
          <w:p>
            <w:r>
              <w:t>NHC latitude_numeric / longitude_numeric</w:t>
            </w:r>
          </w:p>
        </w:tc>
        <w:tc>
          <w:tcPr>
            <w:tcW w:type="dxa" w:w="3888"/>
            <w:shd w:val="clear" w:color="auto" w:fill="FFFFFF"/>
          </w:tcPr>
          <w:p>
            <w:r>
              <w:t>Posición actual de la tormenta</w:t>
            </w:r>
          </w:p>
        </w:tc>
      </w:tr>
      <w:tr>
        <w:tc>
          <w:tcPr>
            <w:tcW w:type="dxa" w:w="2160"/>
            <w:shd w:val="clear" w:color="auto" w:fill="DDEEFF"/>
          </w:tcPr>
          <w:p>
            <w:r>
              <w:t>wind_kmh</w:t>
            </w:r>
          </w:p>
        </w:tc>
        <w:tc>
          <w:tcPr>
            <w:tcW w:type="dxa" w:w="3600"/>
            <w:shd w:val="clear" w:color="auto" w:fill="DDEEFF"/>
          </w:tcPr>
          <w:p>
            <w:r>
              <w:t>NHC intensity (nudos) × 1.852</w:t>
            </w:r>
          </w:p>
        </w:tc>
        <w:tc>
          <w:tcPr>
            <w:tcW w:type="dxa" w:w="3888"/>
            <w:shd w:val="clear" w:color="auto" w:fill="DDEEFF"/>
          </w:tcPr>
          <w:p>
            <w:r>
              <w:t>Nivel en ruta estacionaria</w:t>
            </w:r>
          </w:p>
        </w:tc>
      </w:tr>
      <w:tr>
        <w:tc>
          <w:tcPr>
            <w:tcW w:type="dxa" w:w="2160"/>
            <w:shd w:val="clear" w:color="auto" w:fill="FFFFFF"/>
          </w:tcPr>
          <w:p>
            <w:r>
              <w:t>movement_speed_kmh</w:t>
            </w:r>
          </w:p>
        </w:tc>
        <w:tc>
          <w:tcPr>
            <w:tcW w:type="dxa" w:w="3600"/>
            <w:shd w:val="clear" w:color="auto" w:fill="FFFFFF"/>
          </w:tcPr>
          <w:p>
            <w:r>
              <w:t>NHC movementSpeed (mph) × 1.60934</w:t>
            </w:r>
          </w:p>
        </w:tc>
        <w:tc>
          <w:tcPr>
            <w:tcW w:type="dxa" w:w="3888"/>
            <w:shd w:val="clear" w:color="auto" w:fill="FFFFFF"/>
          </w:tcPr>
          <w:p>
            <w:r>
              <w:t>Elige estrategia: ETA vs. distancia</w:t>
            </w:r>
          </w:p>
        </w:tc>
      </w:tr>
      <w:tr>
        <w:tc>
          <w:tcPr>
            <w:tcW w:type="dxa" w:w="2160"/>
            <w:shd w:val="clear" w:color="auto" w:fill="DDEEFF"/>
          </w:tcPr>
          <w:p>
            <w:r>
              <w:t>distance_km</w:t>
            </w:r>
          </w:p>
        </w:tc>
        <w:tc>
          <w:tcPr>
            <w:tcW w:type="dxa" w:w="3600"/>
            <w:shd w:val="clear" w:color="auto" w:fill="DDEEFF"/>
          </w:tcPr>
          <w:p>
            <w:r>
              <w:t>Calculada con Haversine</w:t>
            </w:r>
          </w:p>
        </w:tc>
        <w:tc>
          <w:tcPr>
            <w:tcW w:type="dxa" w:w="3888"/>
            <w:shd w:val="clear" w:color="auto" w:fill="DDEEFF"/>
          </w:tcPr>
          <w:p>
            <w:r>
              <w:t>Base de ambas estrategias</w:t>
            </w:r>
          </w:p>
        </w:tc>
      </w:tr>
      <w:tr>
        <w:tc>
          <w:tcPr>
            <w:tcW w:type="dxa" w:w="2160"/>
            <w:shd w:val="clear" w:color="auto" w:fill="FFFFFF"/>
          </w:tcPr>
          <w:p>
            <w:r>
              <w:t>eta_hours</w:t>
            </w:r>
          </w:p>
        </w:tc>
        <w:tc>
          <w:tcPr>
            <w:tcW w:type="dxa" w:w="3600"/>
            <w:shd w:val="clear" w:color="auto" w:fill="FFFFFF"/>
          </w:tcPr>
          <w:p>
            <w:r>
              <w:t>distance_km / movement_speed_kmh</w:t>
            </w:r>
          </w:p>
        </w:tc>
        <w:tc>
          <w:tcPr>
            <w:tcW w:type="dxa" w:w="3888"/>
            <w:shd w:val="clear" w:color="auto" w:fill="FFFFFF"/>
          </w:tcPr>
          <w:p>
            <w:r>
              <w:t>Determina nivel en ruta ETA</w:t>
            </w:r>
          </w:p>
        </w:tc>
      </w:tr>
    </w:tbl>
    <w:p/>
    <w:p>
      <w:pPr>
        <w:spacing w:before="200" w:after="40"/>
      </w:pPr>
      <w:r>
        <w:rPr>
          <w:b/>
          <w:color w:val="2E74B5"/>
          <w:sz w:val="24"/>
        </w:rPr>
        <w:t>Ciclo automatizado</w:t>
      </w:r>
    </w:p>
    <w:p>
      <w:pPr>
        <w:spacing w:after="120"/>
      </w:pPr>
      <w:r>
        <w:t>El ciclo SIAT se ejecuta como tarea asyncio en background, iniciada en el lifespan de FastAPI. Corre inmediatamente al arrancar el servidor y luego cada 30 minutos. Las notificaciones push solo se envían cuando el nivel del usuario sube respecto al ciclo anterior. El nivel mínimo para notificar es VERDE (2); el nivel AZUL es solo informativo.</w:t>
      </w:r>
    </w:p>
    <w:p>
      <w:pPr>
        <w:spacing w:before="360" w:after="120"/>
      </w:pPr>
      <w:r>
        <w:rPr>
          <w:b/>
          <w:color w:val="1A568A"/>
          <w:sz w:val="36"/>
        </w:rPr>
        <w:t>5. Boletín SMN / CONAGUA</w:t>
      </w:r>
    </w:p>
    <w:p>
      <w:pPr>
        <w:pBdr>
          <w:bottom w:val="single" w:sz="6" w:space="1" w:color="1A568A"/>
        </w:pBdr>
        <w:spacing w:before="80" w:after="160"/>
      </w:pPr>
    </w:p>
    <w:p>
      <w:pPr>
        <w:spacing w:before="200" w:after="40"/>
      </w:pPr>
      <w:r>
        <w:rPr>
          <w:b/>
          <w:color w:val="2E74B5"/>
          <w:sz w:val="24"/>
        </w:rPr>
        <w:t>Cómo se obtiene</w:t>
      </w:r>
    </w:p>
    <w:p>
      <w:pPr>
        <w:spacing w:after="120"/>
      </w:pPr>
      <w:r>
        <w:t>El Servicio Meteorológico Nacional no dispone de API pública ni RSS feed funcional para su pronóstico diario. BluEye obtiene esta información mediante scraping HTML del sitio oficial. El cliente HTTP usa httpx con verificación SSL deshabilitada (verify=False) porque el sitio del SMN presenta certificados con problemas intermitentes, y con follow_redirects=True para manejar redirecciones del CMS gubernamental.</w:t>
      </w:r>
    </w:p>
    <w:p>
      <w:pPr>
        <w:spacing w:before="200" w:after="40"/>
      </w:pPr>
      <w:r>
        <w:rPr>
          <w:b/>
          <w:color w:val="2E74B5"/>
          <w:sz w:val="24"/>
        </w:rPr>
        <w:t>Datos que se extraen</w:t>
      </w:r>
    </w:p>
    <w:tbl>
      <w:tblPr>
        <w:tblStyle w:val="TableGrid"/>
        <w:tblW w:type="auto" w:w="0"/>
        <w:jc w:val="left"/>
        <w:tblLook w:firstColumn="1" w:firstRow="1" w:lastColumn="0" w:lastRow="0" w:noHBand="0" w:noVBand="1" w:val="04A0"/>
      </w:tblPr>
      <w:tblGrid>
        <w:gridCol w:w="3135"/>
        <w:gridCol w:w="3135"/>
        <w:gridCol w:w="3135"/>
      </w:tblGrid>
      <w:tr>
        <w:tc>
          <w:tcPr>
            <w:tcW w:type="dxa" w:w="1440"/>
            <w:shd w:val="clear" w:color="auto" w:fill="1A568A"/>
          </w:tcPr>
          <w:p>
            <w:r>
              <w:rPr>
                <w:b/>
                <w:color w:val="FFFFFF"/>
              </w:rPr>
              <w:t>Campo</w:t>
            </w:r>
          </w:p>
        </w:tc>
        <w:tc>
          <w:tcPr>
            <w:tcW w:type="dxa" w:w="3168"/>
            <w:shd w:val="clear" w:color="auto" w:fill="1A568A"/>
          </w:tcPr>
          <w:p>
            <w:r>
              <w:rPr>
                <w:b/>
                <w:color w:val="FFFFFF"/>
              </w:rPr>
              <w:t>Selector en HTML</w:t>
            </w:r>
          </w:p>
        </w:tc>
        <w:tc>
          <w:tcPr>
            <w:tcW w:type="dxa" w:w="5040"/>
            <w:shd w:val="clear" w:color="auto" w:fill="1A568A"/>
          </w:tcPr>
          <w:p>
            <w:r>
              <w:rPr>
                <w:b/>
                <w:color w:val="FFFFFF"/>
              </w:rPr>
              <w:t>Descripción</w:t>
            </w:r>
          </w:p>
        </w:tc>
      </w:tr>
      <w:tr>
        <w:tc>
          <w:tcPr>
            <w:tcW w:type="dxa" w:w="1440"/>
            <w:shd w:val="clear" w:color="auto" w:fill="DDEEFF"/>
          </w:tcPr>
          <w:p>
            <w:r>
              <w:t>aviso_num</w:t>
            </w:r>
          </w:p>
        </w:tc>
        <w:tc>
          <w:tcPr>
            <w:tcW w:type="dxa" w:w="3168"/>
            <w:shd w:val="clear" w:color="auto" w:fill="DDEEFF"/>
          </w:tcPr>
          <w:p>
            <w:r>
              <w:t>noaviso_valor</w:t>
            </w:r>
          </w:p>
        </w:tc>
        <w:tc>
          <w:tcPr>
            <w:tcW w:type="dxa" w:w="5040"/>
            <w:shd w:val="clear" w:color="auto" w:fill="DDEEFF"/>
          </w:tcPr>
          <w:p>
            <w:r>
              <w:t>Número único del boletín del día</w:t>
            </w:r>
          </w:p>
        </w:tc>
      </w:tr>
      <w:tr>
        <w:tc>
          <w:tcPr>
            <w:tcW w:type="dxa" w:w="1440"/>
            <w:shd w:val="clear" w:color="auto" w:fill="FFFFFF"/>
          </w:tcPr>
          <w:p>
            <w:r>
              <w:t>headline</w:t>
            </w:r>
          </w:p>
        </w:tc>
        <w:tc>
          <w:tcPr>
            <w:tcW w:type="dxa" w:w="3168"/>
            <w:shd w:val="clear" w:color="auto" w:fill="FFFFFF"/>
          </w:tcPr>
          <w:p>
            <w:r>
              <w:t>sintesis → &lt;strong&gt;</w:t>
            </w:r>
          </w:p>
        </w:tc>
        <w:tc>
          <w:tcPr>
            <w:tcW w:type="dxa" w:w="5040"/>
            <w:shd w:val="clear" w:color="auto" w:fill="FFFFFF"/>
          </w:tcPr>
          <w:p>
            <w:r>
              <w:t>Titular del pronóstico (campo obligatorio)</w:t>
            </w:r>
          </w:p>
        </w:tc>
      </w:tr>
      <w:tr>
        <w:tc>
          <w:tcPr>
            <w:tcW w:type="dxa" w:w="1440"/>
            <w:shd w:val="clear" w:color="auto" w:fill="DDEEFF"/>
          </w:tcPr>
          <w:p>
            <w:r>
              <w:t>issued_at</w:t>
            </w:r>
          </w:p>
        </w:tc>
        <w:tc>
          <w:tcPr>
            <w:tcW w:type="dxa" w:w="3168"/>
            <w:shd w:val="clear" w:color="auto" w:fill="DDEEFF"/>
          </w:tcPr>
          <w:p>
            <w:r>
              <w:t>DD de Mes del AAAA + HH:MMh</w:t>
            </w:r>
          </w:p>
        </w:tc>
        <w:tc>
          <w:tcPr>
            <w:tcW w:type="dxa" w:w="5040"/>
            <w:shd w:val="clear" w:color="auto" w:fill="DDEEFF"/>
          </w:tcPr>
          <w:p>
            <w:r>
              <w:t>Fecha y hora de emisión como ISO 8601 UTC</w:t>
            </w:r>
          </w:p>
        </w:tc>
      </w:tr>
      <w:tr>
        <w:tc>
          <w:tcPr>
            <w:tcW w:type="dxa" w:w="1440"/>
            <w:shd w:val="clear" w:color="auto" w:fill="FFFFFF"/>
          </w:tcPr>
          <w:p>
            <w:r>
              <w:t>summary</w:t>
            </w:r>
          </w:p>
        </w:tc>
        <w:tc>
          <w:tcPr>
            <w:tcW w:type="dxa" w:w="3168"/>
            <w:shd w:val="clear" w:color="auto" w:fill="FFFFFF"/>
          </w:tcPr>
          <w:p>
            <w:r>
              <w:t>visforms_contenedor_cuerpo</w:t>
            </w:r>
          </w:p>
        </w:tc>
        <w:tc>
          <w:tcPr>
            <w:tcW w:type="dxa" w:w="5040"/>
            <w:shd w:val="clear" w:color="auto" w:fill="FFFFFF"/>
          </w:tcPr>
          <w:p>
            <w:r>
              <w:t>Primer párrafo del pronóstico (máx. 500 chars)</w:t>
            </w:r>
          </w:p>
        </w:tc>
      </w:tr>
      <w:tr>
        <w:tc>
          <w:tcPr>
            <w:tcW w:type="dxa" w:w="1440"/>
            <w:shd w:val="clear" w:color="auto" w:fill="DDEEFF"/>
          </w:tcPr>
          <w:p>
            <w:r>
              <w:t>pdf_url</w:t>
            </w:r>
          </w:p>
        </w:tc>
        <w:tc>
          <w:tcPr>
            <w:tcW w:type="dxa" w:w="3168"/>
            <w:shd w:val="clear" w:color="auto" w:fill="DDEEFF"/>
          </w:tcPr>
          <w:p>
            <w:r>
              <w:t>href con dominio smn.conagua</w:t>
            </w:r>
          </w:p>
        </w:tc>
        <w:tc>
          <w:tcPr>
            <w:tcW w:type="dxa" w:w="5040"/>
            <w:shd w:val="clear" w:color="auto" w:fill="DDEEFF"/>
          </w:tcPr>
          <w:p>
            <w:r>
              <w:t>Enlace de descarga directa al PDF oficial</w:t>
            </w:r>
          </w:p>
        </w:tc>
      </w:tr>
    </w:tbl>
    <w:p/>
    <w:p>
      <w:pPr>
        <w:spacing w:before="200" w:after="40"/>
      </w:pPr>
      <w:r>
        <w:rPr>
          <w:b/>
          <w:color w:val="2E74B5"/>
          <w:sz w:val="24"/>
        </w:rPr>
        <w:t>Integración con Alerts</w:t>
      </w:r>
    </w:p>
    <w:p>
      <w:pPr>
        <w:spacing w:after="120"/>
      </w:pPr>
      <w:r>
        <w:t>El boletín se obtiene en /alerts/active como la última de las tres fuentes. El campo smn_bulletin en la respuesta es opcional y puede ser null. El fetch y parse están envueltos en try/except: cualquier error es capturado, registrado como warning en logs, y la respuesta continúa normalmente. El usuario no percibe el fallo.</w:t>
      </w:r>
    </w:p>
    <w:p>
      <w:pPr>
        <w:spacing w:before="200" w:after="40"/>
      </w:pPr>
      <w:r>
        <w:rPr>
          <w:b/>
          <w:color w:val="2E74B5"/>
          <w:sz w:val="24"/>
        </w:rPr>
        <w:t>Sistema de caché</w:t>
      </w:r>
    </w:p>
    <w:p>
      <w:pPr>
        <w:spacing w:after="120"/>
      </w:pPr>
      <w:r>
        <w:t>Para evitar scraping en cada request, el boletín se cachea en memoria del proceso con TTL de 30 minutos. Si la fetch de red falla, se devuelve el dato cacheado anterior (stale cache), garantizando que un fallo temporal del SMN no resulte en ausencia de información. El caché se pierde si el servidor se reinicia.</w:t>
      </w:r>
    </w:p>
    <w:p>
      <w:pPr>
        <w:spacing w:before="360" w:after="120"/>
      </w:pPr>
      <w:r>
        <w:rPr>
          <w:b/>
          <w:color w:val="1A568A"/>
          <w:sz w:val="36"/>
        </w:rPr>
        <w:t>6. Weather — /weather y /weather/mx</w:t>
      </w:r>
    </w:p>
    <w:p>
      <w:pPr>
        <w:pBdr>
          <w:bottom w:val="single" w:sz="6" w:space="1" w:color="1A568A"/>
        </w:pBdr>
        <w:spacing w:before="80" w:after="160"/>
      </w:pPr>
    </w:p>
    <w:p>
      <w:pPr>
        <w:spacing w:before="200" w:after="40"/>
      </w:pPr>
      <w:r>
        <w:rPr>
          <w:b/>
          <w:color w:val="2E74B5"/>
          <w:sz w:val="24"/>
        </w:rPr>
        <w:t>/api/v1/alerts/weather</w:t>
      </w:r>
    </w:p>
    <w:p>
      <w:pPr>
        <w:spacing w:after="120"/>
      </w:pPr>
      <w:r>
        <w:t>Recibe coordenadas geográficas (lat, lon) como query parameters y devuelve las condiciones meteorológicas actuales más las alertas activas para esa ubicación, usando la OneCall 3.0 API de OpenWeather.</w:t>
      </w:r>
    </w:p>
    <w:p>
      <w:pPr>
        <w:spacing w:after="120"/>
      </w:pPr>
      <w:r>
        <w:t>Antes de llamar a OpenWeather, el servicio valida que las coordenadas estén dentro de los límites geográficos de México (lat 14–33°N, lon 118.5–86°W). Si están fuera, retorna 422 con mensaje descriptivo.</w:t>
      </w:r>
    </w:p>
    <w:p>
      <w:pPr>
        <w:spacing w:after="120"/>
      </w:pPr>
      <w:r>
        <w:t>La respuesta incluye: posición, zona horaria, condiciones actuales (temperatura, humedad, presión, viento), nivel de riesgo Saffir-Simpson calculado desde la velocidad del viento, y lista de alertas activas de OpenWeather.</w:t>
      </w:r>
    </w:p>
    <w:p>
      <w:pPr>
        <w:spacing w:before="200" w:after="40"/>
      </w:pPr>
      <w:r>
        <w:rPr>
          <w:b/>
          <w:color w:val="2E74B5"/>
          <w:sz w:val="24"/>
        </w:rPr>
        <w:t>/api/v1/alerts/weather/mx</w:t>
      </w:r>
    </w:p>
    <w:p>
      <w:pPr>
        <w:spacing w:after="120"/>
      </w:pPr>
      <w:r>
        <w:t>Provee un panorama meteorológico nacional para 12 puntos de referencia distribuidos en México: Tijuana, Monterrey, Chihuahua, Guadalajara, Ciudad de México, Veracruz, Acapulco, Mérida, Cancún, Villahermosa, Oaxaca y La Paz.</w:t>
      </w:r>
    </w:p>
    <w:p>
      <w:pPr>
        <w:spacing w:after="120"/>
      </w:pPr>
      <w:r>
        <w:t>La implementación realiza las 12 llamadas a OpenWeather en paralelo usando asyncio.gather, reduciendo el tiempo de respuesta de ~12 segundos secuenciales a ~1–2 segundos concurrentes.</w:t>
      </w:r>
    </w:p>
    <w:p>
      <w:pPr>
        <w:spacing w:before="200" w:after="40"/>
      </w:pPr>
      <w:r>
        <w:rPr>
          <w:b/>
          <w:color w:val="2E74B5"/>
          <w:sz w:val="24"/>
        </w:rPr>
        <w:t>Manejo de errores parciales en /weather/mx</w:t>
      </w:r>
    </w:p>
    <w:p>
      <w:pPr>
        <w:spacing w:after="120"/>
      </w:pPr>
      <w:r>
        <w:t>Se usa return_exceptions=True en el asyncio.gather. Si una o varias de las 12 llamadas falla, las excepciones son capturadas como valores en lugar de abortar todo el gather. El servicio filtra los resultados: los que son instancias de Exception generan un log de warning y se omiten; los exitosos se incluyen en la respuesta. El cliente recibe los puntos disponibles con un points_count ajustado, en lugar de recibir un 502 por un fallo parcial.</w:t>
      </w:r>
    </w:p>
    <w:p>
      <w:pPr>
        <w:spacing w:before="360" w:after="120"/>
      </w:pPr>
      <w:r>
        <w:rPr>
          <w:b/>
          <w:color w:val="1A568A"/>
          <w:sz w:val="36"/>
        </w:rPr>
        <w:t>7. Resiliencia del Sistema</w:t>
      </w:r>
    </w:p>
    <w:p>
      <w:pPr>
        <w:pBdr>
          <w:bottom w:val="single" w:sz="6" w:space="1" w:color="1A568A"/>
        </w:pBdr>
        <w:spacing w:before="80" w:after="160"/>
      </w:pP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568A"/>
          </w:tcPr>
          <w:p>
            <w:r>
              <w:rPr>
                <w:b/>
                <w:color w:val="FFFFFF"/>
              </w:rPr>
              <w:t>Escenario de falla</w:t>
            </w:r>
          </w:p>
        </w:tc>
        <w:tc>
          <w:tcPr>
            <w:tcW w:type="dxa" w:w="3600"/>
            <w:shd w:val="clear" w:color="auto" w:fill="1A568A"/>
          </w:tcPr>
          <w:p>
            <w:r>
              <w:rPr>
                <w:b/>
                <w:color w:val="FFFFFF"/>
              </w:rPr>
              <w:t>Comportamiento</w:t>
            </w:r>
          </w:p>
        </w:tc>
        <w:tc>
          <w:tcPr>
            <w:tcW w:type="dxa" w:w="3456"/>
            <w:shd w:val="clear" w:color="auto" w:fill="1A568A"/>
          </w:tcPr>
          <w:p>
            <w:r>
              <w:rPr>
                <w:b/>
                <w:color w:val="FFFFFF"/>
              </w:rPr>
              <w:t>Impacto en usuario</w:t>
            </w:r>
          </w:p>
        </w:tc>
      </w:tr>
      <w:tr>
        <w:tc>
          <w:tcPr>
            <w:tcW w:type="dxa" w:w="2592"/>
            <w:shd w:val="clear" w:color="auto" w:fill="DDEEFF"/>
          </w:tcPr>
          <w:p>
            <w:r>
              <w:t>SMN no responde (red)</w:t>
            </w:r>
          </w:p>
        </w:tc>
        <w:tc>
          <w:tcPr>
            <w:tcW w:type="dxa" w:w="3600"/>
            <w:shd w:val="clear" w:color="auto" w:fill="DDEEFF"/>
          </w:tcPr>
          <w:p>
            <w:r>
              <w:t>fetch_latest_bulletin retorna caché anterior (stale)</w:t>
            </w:r>
          </w:p>
        </w:tc>
        <w:tc>
          <w:tcPr>
            <w:tcW w:type="dxa" w:w="3456"/>
            <w:shd w:val="clear" w:color="auto" w:fill="DDEEFF"/>
          </w:tcPr>
          <w:p>
            <w:r>
              <w:t>smn_bulletin muestra datos de hasta 30 min de antigüedad</w:t>
            </w:r>
          </w:p>
        </w:tc>
      </w:tr>
      <w:tr>
        <w:tc>
          <w:tcPr>
            <w:tcW w:type="dxa" w:w="2592"/>
            <w:shd w:val="clear" w:color="auto" w:fill="FFFFFF"/>
          </w:tcPr>
          <w:p>
            <w:r>
              <w:t>SMN cambia su HTML</w:t>
            </w:r>
          </w:p>
        </w:tc>
        <w:tc>
          <w:tcPr>
            <w:tcW w:type="dxa" w:w="3600"/>
            <w:shd w:val="clear" w:color="auto" w:fill="FFFFFF"/>
          </w:tcPr>
          <w:p>
            <w:r>
              <w:t>_parse_bulletin retorna None; WARNING en logs</w:t>
            </w:r>
          </w:p>
        </w:tc>
        <w:tc>
          <w:tcPr>
            <w:tcW w:type="dxa" w:w="3456"/>
            <w:shd w:val="clear" w:color="auto" w:fill="FFFFFF"/>
          </w:tcPr>
          <w:p>
            <w:r>
              <w:t>smn_bulletin = null en /active; resto sin cambio</w:t>
            </w:r>
          </w:p>
        </w:tc>
      </w:tr>
      <w:tr>
        <w:tc>
          <w:tcPr>
            <w:tcW w:type="dxa" w:w="2592"/>
            <w:shd w:val="clear" w:color="auto" w:fill="DDEEFF"/>
          </w:tcPr>
          <w:p>
            <w:r>
              <w:t>OpenWeather falla en 1 punto (/weather/mx)</w:t>
            </w:r>
          </w:p>
        </w:tc>
        <w:tc>
          <w:tcPr>
            <w:tcW w:type="dxa" w:w="3600"/>
            <w:shd w:val="clear" w:color="auto" w:fill="DDEEFF"/>
          </w:tcPr>
          <w:p>
            <w:r>
              <w:t>return_exceptions captura la excepción; punto omitido</w:t>
            </w:r>
          </w:p>
        </w:tc>
        <w:tc>
          <w:tcPr>
            <w:tcW w:type="dxa" w:w="3456"/>
            <w:shd w:val="clear" w:color="auto" w:fill="DDEEFF"/>
          </w:tcPr>
          <w:p>
            <w:r>
              <w:t>points_count reducido; no hay 502</w:t>
            </w:r>
          </w:p>
        </w:tc>
      </w:tr>
      <w:tr>
        <w:tc>
          <w:tcPr>
            <w:tcW w:type="dxa" w:w="2592"/>
            <w:shd w:val="clear" w:color="auto" w:fill="FFFFFF"/>
          </w:tcPr>
          <w:p>
            <w:r>
              <w:t>OpenWeather falla en todos los puntos</w:t>
            </w:r>
          </w:p>
        </w:tc>
        <w:tc>
          <w:tcPr>
            <w:tcW w:type="dxa" w:w="3600"/>
            <w:shd w:val="clear" w:color="auto" w:fill="FFFFFF"/>
          </w:tcPr>
          <w:p>
            <w:r>
              <w:t>Lista vacía, points_count = 0</w:t>
            </w:r>
          </w:p>
        </w:tc>
        <w:tc>
          <w:tcPr>
            <w:tcW w:type="dxa" w:w="3456"/>
            <w:shd w:val="clear" w:color="auto" w:fill="FFFFFF"/>
          </w:tcPr>
          <w:p>
            <w:r>
              <w:t>Respuesta 200 con array vacío</w:t>
            </w:r>
          </w:p>
        </w:tc>
      </w:tr>
      <w:tr>
        <w:tc>
          <w:tcPr>
            <w:tcW w:type="dxa" w:w="2592"/>
            <w:shd w:val="clear" w:color="auto" w:fill="DDEEFF"/>
          </w:tcPr>
          <w:p>
            <w:r>
              <w:t>Sin ciclones activos (NHC)</w:t>
            </w:r>
          </w:p>
        </w:tc>
        <w:tc>
          <w:tcPr>
            <w:tcW w:type="dxa" w:w="3600"/>
            <w:shd w:val="clear" w:color="auto" w:fill="DDEEFF"/>
          </w:tcPr>
          <w:p>
            <w:r>
              <w:t>run_cycle retorna cyclones_found = 0; sin escrituras en DB</w:t>
            </w:r>
          </w:p>
        </w:tc>
        <w:tc>
          <w:tcPr>
            <w:tcW w:type="dxa" w:w="3456"/>
            <w:shd w:val="clear" w:color="auto" w:fill="DDEEFF"/>
          </w:tcPr>
          <w:p>
            <w:r>
              <w:t>cyclonic_alerts = [] en /active</w:t>
            </w:r>
          </w:p>
        </w:tc>
      </w:tr>
      <w:tr>
        <w:tc>
          <w:tcPr>
            <w:tcW w:type="dxa" w:w="2592"/>
            <w:shd w:val="clear" w:color="auto" w:fill="FFFFFF"/>
          </w:tcPr>
          <w:p>
            <w:r>
              <w:t>Usuario sin perfil (sin lat/lon)</w:t>
            </w:r>
          </w:p>
        </w:tc>
        <w:tc>
          <w:tcPr>
            <w:tcW w:type="dxa" w:w="3600"/>
            <w:shd w:val="clear" w:color="auto" w:fill="FFFFFF"/>
          </w:tcPr>
          <w:p>
            <w:r>
              <w:t>Bloque SIAT omitido completamente</w:t>
            </w:r>
          </w:p>
        </w:tc>
        <w:tc>
          <w:tcPr>
            <w:tcW w:type="dxa" w:w="3456"/>
            <w:shd w:val="clear" w:color="auto" w:fill="FFFFFF"/>
          </w:tcPr>
          <w:p>
            <w:r>
              <w:t>user_siat = null; alertas sistema y SMN sin cambio</w:t>
            </w:r>
          </w:p>
        </w:tc>
      </w:tr>
    </w:tbl>
    <w:p/>
    <w:p>
      <w:pPr>
        <w:spacing w:before="360" w:after="120"/>
      </w:pPr>
      <w:r>
        <w:rPr>
          <w:b/>
          <w:color w:val="1A568A"/>
          <w:sz w:val="36"/>
        </w:rPr>
        <w:t>8. Flujo Completo End-to-End</w:t>
      </w:r>
    </w:p>
    <w:p>
      <w:pPr>
        <w:pBdr>
          <w:bottom w:val="single" w:sz="6" w:space="1" w:color="1A568A"/>
        </w:pBdr>
        <w:spacing w:before="80" w:after="160"/>
      </w:pPr>
    </w:p>
    <w:p>
      <w:pPr>
        <w:spacing w:before="200" w:after="40"/>
      </w:pPr>
      <w:r>
        <w:rPr>
          <w:b/>
          <w:color w:val="2E74B5"/>
          <w:sz w:val="24"/>
        </w:rPr>
        <w:t>Request del usuario → /alerts/active</w:t>
      </w:r>
    </w:p>
    <w:p>
      <w:pPr>
        <w:spacing w:after="120"/>
      </w:pPr>
      <w:r>
        <w:rPr>
          <w:b/>
        </w:rPr>
        <w:t xml:space="preserve">1. Usuario abre la app: </w:t>
      </w:r>
      <w:r>
        <w:rPr>
          <w:b w:val="0"/>
        </w:rPr>
        <w:t>La app envía GET /api/v1/alerts/active con el token Firebase en Authorization: Bearer.</w:t>
      </w:r>
    </w:p>
    <w:p>
      <w:pPr>
        <w:spacing w:after="120"/>
      </w:pPr>
      <w:r>
        <w:rPr>
          <w:b/>
        </w:rPr>
        <w:t xml:space="preserve">2. Autenticación: </w:t>
      </w:r>
      <w:r>
        <w:rPr>
          <w:b w:val="0"/>
        </w:rPr>
        <w:t>firebase_admin.auth.verify_id_token() valida el token. Si es inválido: 401. Si es válido: extrae uid.</w:t>
      </w:r>
    </w:p>
    <w:p>
      <w:pPr>
        <w:spacing w:after="120"/>
      </w:pPr>
      <w:r>
        <w:rPr>
          <w:b/>
        </w:rPr>
        <w:t xml:space="preserve">3. Resolución de perfil: </w:t>
      </w:r>
      <w:r>
        <w:rPr>
          <w:b w:val="0"/>
        </w:rPr>
        <w:t>get_user_by_firebase_uid() hace SELECT en la tabla users con el uid de Firebase.</w:t>
      </w:r>
    </w:p>
    <w:p>
      <w:pPr>
        <w:spacing w:after="120"/>
      </w:pPr>
      <w:r>
        <w:rPr>
          <w:b/>
        </w:rPr>
        <w:t xml:space="preserve">4. Estado SIAT: </w:t>
      </w:r>
      <w:r>
        <w:rPr>
          <w:b w:val="0"/>
        </w:rPr>
        <w:t>get_user_siat_state() ejecuta un JOIN entre user_alert_states y siat_assessments. Devuelve nivel, color y razón del último ciclo evaluado (pre-calculado en background).</w:t>
      </w:r>
    </w:p>
    <w:p>
      <w:pPr>
        <w:spacing w:after="120"/>
      </w:pPr>
      <w:r>
        <w:rPr>
          <w:b/>
        </w:rPr>
        <w:t xml:space="preserve">5. Alertas del sistema: </w:t>
      </w:r>
      <w:r>
        <w:rPr>
          <w:b w:val="0"/>
        </w:rPr>
        <w:t>SELECT en la tabla alerts, últimas 5 filas ordenadas por timestamp DESC.</w:t>
      </w:r>
    </w:p>
    <w:p>
      <w:pPr>
        <w:spacing w:after="120"/>
      </w:pPr>
      <w:r>
        <w:rPr>
          <w:b/>
        </w:rPr>
        <w:t xml:space="preserve">6. Boletín SMN: </w:t>
      </w:r>
      <w:r>
        <w:rPr>
          <w:b w:val="0"/>
        </w:rPr>
        <w:t>fetch_latest_bulletin() devuelve caché vigente o hace fetch real al SMN.</w:t>
      </w:r>
    </w:p>
    <w:p>
      <w:pPr>
        <w:spacing w:after="120"/>
      </w:pPr>
      <w:r>
        <w:rPr>
          <w:b/>
        </w:rPr>
        <w:t xml:space="preserve">7. Construcción de respuesta: </w:t>
      </w:r>
      <w:r>
        <w:rPr>
          <w:b w:val="0"/>
        </w:rPr>
        <w:t>El router ensambla ActiveAlertsResponse con generated_at, los tres bloques de datos y la lógica de nivel &gt;= 2 para cyclonic_alerts.</w:t>
      </w:r>
    </w:p>
    <w:p>
      <w:pPr>
        <w:spacing w:before="200" w:after="40"/>
      </w:pPr>
      <w:r>
        <w:rPr>
          <w:b/>
          <w:color w:val="2E74B5"/>
          <w:sz w:val="24"/>
        </w:rPr>
        <w:t>Ciclo SIAT en background (paralelo al request del usuario)</w:t>
      </w:r>
    </w:p>
    <w:p>
      <w:pPr>
        <w:pStyle w:val="ListBullet"/>
        <w:spacing w:after="60"/>
        <w:ind w:left="360"/>
      </w:pPr>
      <w:r>
        <w:t>El background loop corre asyncio.create_task al iniciar la app.</w:t>
      </w:r>
    </w:p>
    <w:p>
      <w:pPr>
        <w:pStyle w:val="ListBullet"/>
        <w:spacing w:after="60"/>
        <w:ind w:left="360"/>
      </w:pPr>
      <w:r>
        <w:t>Cada 30 minutos (y al arrancar): fetch_active_cyclones() consulta NHC CurrentStorms.json.</w:t>
      </w:r>
    </w:p>
    <w:p>
      <w:pPr>
        <w:pStyle w:val="ListBullet"/>
        <w:spacing w:after="60"/>
        <w:ind w:left="360"/>
      </w:pPr>
      <w:r>
        <w:t>Por cada ciclón activo: SELECT de todos los usuarios con lat/lon en DB.</w:t>
      </w:r>
    </w:p>
    <w:p>
      <w:pPr>
        <w:pStyle w:val="ListBullet"/>
        <w:spacing w:after="60"/>
        <w:ind w:left="360"/>
      </w:pPr>
      <w:r>
        <w:t>evaluate_user() calcula nivel, color, ETA y razón para cada par usuario-ciclón.</w:t>
      </w:r>
    </w:p>
    <w:p>
      <w:pPr>
        <w:pStyle w:val="ListBullet"/>
        <w:spacing w:after="60"/>
        <w:ind w:left="360"/>
      </w:pPr>
      <w:r>
        <w:t>Si out_of_range = True: skip. No se escribe en DB, no se envía notificación.</w:t>
      </w:r>
    </w:p>
    <w:p>
      <w:pPr>
        <w:pStyle w:val="ListBullet"/>
        <w:spacing w:after="60"/>
        <w:ind w:left="360"/>
      </w:pPr>
      <w:r>
        <w:t>UPSERT en siat_assessments y user_alert_states con el resultado.</w:t>
      </w:r>
    </w:p>
    <w:p>
      <w:pPr>
        <w:pStyle w:val="ListBullet"/>
        <w:spacing w:after="60"/>
        <w:ind w:left="360"/>
      </w:pPr>
      <w:r>
        <w:t>Si nivel nuevo &gt; nivel anterior (escalación) Y nivel &gt;= 2: el usuario entra a la cola de push.</w:t>
      </w:r>
    </w:p>
    <w:p>
      <w:pPr>
        <w:pStyle w:val="ListBullet"/>
        <w:spacing w:after="60"/>
        <w:ind w:left="360"/>
      </w:pPr>
      <w:r>
        <w:t>get_tokens_for_users() obtiene tokens FCM. messaging.send_each_for_multicast() envía.</w:t>
      </w:r>
    </w:p>
    <w:p>
      <w:pPr>
        <w:spacing w:before="360" w:after="120"/>
      </w:pPr>
      <w:r>
        <w:rPr>
          <w:b/>
          <w:color w:val="1A568A"/>
          <w:sz w:val="36"/>
        </w:rPr>
        <w:t>9. Limitaciones Actuales</w:t>
      </w:r>
    </w:p>
    <w:p>
      <w:pPr>
        <w:pBdr>
          <w:bottom w:val="single" w:sz="6" w:space="1" w:color="1A568A"/>
        </w:pBdr>
        <w:spacing w:before="80" w:after="160"/>
      </w:pPr>
    </w:p>
    <w:p>
      <w:pPr>
        <w:spacing w:before="200" w:after="40"/>
      </w:pPr>
      <w:r>
        <w:rPr>
          <w:b/>
          <w:color w:val="2E74B5"/>
          <w:sz w:val="24"/>
        </w:rPr>
        <w:t>Dirección del ciclón no considerada</w:t>
      </w:r>
    </w:p>
    <w:p>
      <w:pPr>
        <w:spacing w:after="120"/>
      </w:pPr>
      <w:r>
        <w:t>El cálculo de ETA usa distancia / velocidad sin considerar hacia dónde se mueve el ciclón. Un ciclón alejándose produce el mismo ETA que uno acercándose. La implementación resuelve esto optando siempre por sobre-alertar: es preferible una falsa alarma que un aviso perdido. Esta limitación está documentada en el header de evaluator.py. Se resolvería incorporando movementDir del NHC y cálculo de bearing geográfico en una versión futura.</w:t>
      </w:r>
    </w:p>
    <w:p>
      <w:pPr>
        <w:spacing w:before="200" w:after="40"/>
      </w:pPr>
      <w:r>
        <w:rPr>
          <w:b/>
          <w:color w:val="2E74B5"/>
          <w:sz w:val="24"/>
        </w:rPr>
        <w:t>Dependencia del HTML del SMN</w:t>
      </w:r>
    </w:p>
    <w:p>
      <w:pPr>
        <w:spacing w:after="120"/>
      </w:pPr>
      <w:r>
        <w:t>El boletín SMN depende de patrones regex sobre el HTML de un sitio gubernamental sin API pública. Si CONAGUA rediseña el sitio, los selectores pueden dejar de funcionar. El impacto está contenido: la app no muestra boletín hasta actualizar el selector. Los logs producen warnings descriptivos cuando esto ocurre.</w:t>
      </w:r>
    </w:p>
    <w:p>
      <w:pPr>
        <w:spacing w:before="200" w:after="40"/>
      </w:pPr>
      <w:r>
        <w:rPr>
          <w:b/>
          <w:color w:val="2E74B5"/>
          <w:sz w:val="24"/>
        </w:rPr>
        <w:t>Caché SMN en memoria</w:t>
      </w:r>
    </w:p>
    <w:p>
      <w:pPr>
        <w:spacing w:after="120"/>
      </w:pPr>
      <w:r>
        <w:t>El caché de 30 minutos vive en memoria del proceso. Un reinicio del servidor (deploy en Railway) vacía el caché. En ese caso, la primera solicitud hace fetch real al SMN. Para alta frecuencia de deploys, podría migrarse a Redis.</w:t>
      </w:r>
    </w:p>
    <w:p>
      <w:pPr>
        <w:spacing w:before="200" w:after="40"/>
      </w:pPr>
      <w:r>
        <w:rPr>
          <w:b/>
          <w:color w:val="2E74B5"/>
          <w:sz w:val="24"/>
        </w:rPr>
        <w:t>Ciclo SIAT sin scheduler externo</w:t>
      </w:r>
    </w:p>
    <w:p>
      <w:pPr>
        <w:spacing w:after="120"/>
      </w:pPr>
      <w:r>
        <w:t>El background loop corre dentro del proceso uvicorn. Con una instancia única funciona correctamente. Si Railway escala a múltiples instancias, cada una correría su propio ciclo generando evaluaciones duplicadas. Para este MVP con una sola instancia es el diseño correcto.</w:t>
      </w:r>
    </w:p>
    <w:p>
      <w:pPr>
        <w:spacing w:before="200" w:after="40"/>
      </w:pPr>
      <w:r>
        <w:rPr>
          <w:b/>
          <w:color w:val="2E74B5"/>
          <w:sz w:val="24"/>
        </w:rPr>
        <w:t>Sin historial de trayectoria ciclónica</w:t>
      </w:r>
    </w:p>
    <w:p>
      <w:pPr>
        <w:spacing w:after="120"/>
      </w:pPr>
      <w:r>
        <w:t>La tabla cyclone_events tiene un constraint UNIQUE (source, name), lo que significa que cada tormenta tiene una sola fila que se actualiza con su posición más reciente. No existe historial de trayectoria. Para visualización de ruta se necesitaría un diseño temporal diferente.</w:t>
      </w:r>
    </w:p>
    <w:p>
      <w:pPr>
        <w:spacing w:before="360" w:after="120"/>
      </w:pPr>
      <w:r>
        <w:rPr>
          <w:b/>
          <w:color w:val="1A568A"/>
          <w:sz w:val="36"/>
        </w:rPr>
        <w:t>10. Conclusión</w:t>
      </w:r>
    </w:p>
    <w:p>
      <w:pPr>
        <w:pBdr>
          <w:bottom w:val="single" w:sz="6" w:space="1" w:color="1A568A"/>
        </w:pBdr>
        <w:spacing w:before="80" w:after="160"/>
      </w:pPr>
    </w:p>
    <w:p>
      <w:pPr>
        <w:spacing w:before="200" w:after="40"/>
      </w:pPr>
      <w:r>
        <w:rPr>
          <w:b/>
          <w:color w:val="2E74B5"/>
          <w:sz w:val="24"/>
        </w:rPr>
        <w:t>Por qué la implementación es válida</w:t>
      </w:r>
    </w:p>
    <w:p>
      <w:pPr>
        <w:spacing w:after="120"/>
      </w:pPr>
      <w:r>
        <w:t>La decisión de derivar los niveles SIAT-CT localmente a partir del feed NHC, en lugar de depender de una API oficial inexistente, es la única solución técnicamente viable. La fórmula de ETA sobre datos de movimiento real del NHC refleja fielmente la definición oficial del SIAT-CT. La escala de 5 niveles implementada es la escala oficial y los umbrales de tiempo son los publicados por CENAPRED.</w:t>
      </w:r>
    </w:p>
    <w:p>
      <w:pPr>
        <w:spacing w:after="120"/>
      </w:pPr>
      <w:r>
        <w:t>La arquitectura de tres fuentes en /alerts/active (SIAT personalizado + alertas del sistema + boletín SMN) es exactamente lo que necesita la pantalla principal de una app de emergencias: riesgo específico para el usuario, información de administración, y contexto meteorológico, todo en un solo round-trip.</w:t>
      </w:r>
    </w:p>
    <w:p>
      <w:pPr>
        <w:spacing w:before="200" w:after="40"/>
      </w:pPr>
      <w:r>
        <w:rPr>
          <w:b/>
          <w:color w:val="2E74B5"/>
          <w:sz w:val="24"/>
        </w:rPr>
        <w:t>Evidencia de funcionamiento en producción</w:t>
      </w:r>
    </w:p>
    <w:tbl>
      <w:tblPr>
        <w:tblStyle w:val="TableGrid"/>
        <w:tblW w:type="auto" w:w="0"/>
        <w:jc w:val="left"/>
        <w:tblLook w:firstColumn="1" w:firstRow="1" w:lastColumn="0" w:lastRow="0" w:noHBand="0" w:noVBand="1" w:val="04A0"/>
      </w:tblPr>
      <w:tblGrid>
        <w:gridCol w:w="4703"/>
        <w:gridCol w:w="4703"/>
      </w:tblGrid>
      <w:tr>
        <w:tc>
          <w:tcPr>
            <w:tcW w:type="dxa" w:w="5040"/>
            <w:shd w:val="clear" w:color="auto" w:fill="1A568A"/>
          </w:tcPr>
          <w:p>
            <w:r>
              <w:rPr>
                <w:b/>
                <w:color w:val="FFFFFF"/>
              </w:rPr>
              <w:t>Verificación</w:t>
            </w:r>
          </w:p>
        </w:tc>
        <w:tc>
          <w:tcPr>
            <w:tcW w:type="dxa" w:w="4608"/>
            <w:shd w:val="clear" w:color="auto" w:fill="1A568A"/>
          </w:tcPr>
          <w:p>
            <w:r>
              <w:rPr>
                <w:b/>
                <w:color w:val="FFFFFF"/>
              </w:rPr>
              <w:t>Resultado</w:t>
            </w:r>
          </w:p>
        </w:tc>
      </w:tr>
      <w:tr>
        <w:tc>
          <w:tcPr>
            <w:tcW w:type="dxa" w:w="5040"/>
            <w:shd w:val="clear" w:color="auto" w:fill="DDEEFF"/>
          </w:tcPr>
          <w:p>
            <w:r>
              <w:t>18 tests automatizados (alerts + siat)</w:t>
            </w:r>
          </w:p>
        </w:tc>
        <w:tc>
          <w:tcPr>
            <w:tcW w:type="dxa" w:w="4608"/>
            <w:shd w:val="clear" w:color="auto" w:fill="DDEEFF"/>
          </w:tcPr>
          <w:p>
            <w:r>
              <w:t>18/18 PASS</w:t>
            </w:r>
          </w:p>
        </w:tc>
      </w:tr>
      <w:tr>
        <w:tc>
          <w:tcPr>
            <w:tcW w:type="dxa" w:w="5040"/>
            <w:shd w:val="clear" w:color="auto" w:fill="FFFFFF"/>
          </w:tcPr>
          <w:p>
            <w:r>
              <w:t>SMN boletín en vivo (25 Abr 2026)</w:t>
            </w:r>
          </w:p>
        </w:tc>
        <w:tc>
          <w:tcPr>
            <w:tcW w:type="dxa" w:w="4608"/>
            <w:shd w:val="clear" w:color="auto" w:fill="FFFFFF"/>
          </w:tcPr>
          <w:p>
            <w:r>
              <w:t>Aviso #229 obtenido correctamente</w:t>
            </w:r>
          </w:p>
        </w:tc>
      </w:tr>
      <w:tr>
        <w:tc>
          <w:tcPr>
            <w:tcW w:type="dxa" w:w="5040"/>
            <w:shd w:val="clear" w:color="auto" w:fill="DDEEFF"/>
          </w:tcPr>
          <w:p>
            <w:r>
              <w:t>NHC feed en vivo</w:t>
            </w:r>
          </w:p>
        </w:tc>
        <w:tc>
          <w:tcPr>
            <w:tcW w:type="dxa" w:w="4608"/>
            <w:shd w:val="clear" w:color="auto" w:fill="DDEEFF"/>
          </w:tcPr>
          <w:p>
            <w:r>
              <w:t>0 tormentas activas (correcto, temporada baja)</w:t>
            </w:r>
          </w:p>
        </w:tc>
      </w:tr>
      <w:tr>
        <w:tc>
          <w:tcPr>
            <w:tcW w:type="dxa" w:w="5040"/>
            <w:shd w:val="clear" w:color="auto" w:fill="FFFFFF"/>
          </w:tcPr>
          <w:p>
            <w:r>
              <w:t>DB Neon desde servidor local</w:t>
            </w:r>
          </w:p>
        </w:tc>
        <w:tc>
          <w:tcPr>
            <w:tcW w:type="dxa" w:w="4608"/>
            <w:shd w:val="clear" w:color="auto" w:fill="FFFFFF"/>
          </w:tcPr>
          <w:p>
            <w:r>
              <w:t>health-db: OK, reachable</w:t>
            </w:r>
          </w:p>
        </w:tc>
      </w:tr>
      <w:tr>
        <w:tc>
          <w:tcPr>
            <w:tcW w:type="dxa" w:w="5040"/>
            <w:shd w:val="clear" w:color="auto" w:fill="DDEEFF"/>
          </w:tcPr>
          <w:p>
            <w:r>
              <w:t>SIAT run-cycle con API key</w:t>
            </w:r>
          </w:p>
        </w:tc>
        <w:tc>
          <w:tcPr>
            <w:tcW w:type="dxa" w:w="4608"/>
            <w:shd w:val="clear" w:color="auto" w:fill="DDEEFF"/>
          </w:tcPr>
          <w:p>
            <w:r>
              <w:t>200 OK, cyclones_found: 0</w:t>
            </w:r>
          </w:p>
        </w:tc>
      </w:tr>
      <w:tr>
        <w:tc>
          <w:tcPr>
            <w:tcW w:type="dxa" w:w="5040"/>
            <w:shd w:val="clear" w:color="auto" w:fill="FFFFFF"/>
          </w:tcPr>
          <w:p>
            <w:r>
              <w:t>Auth guards (sin token / token inválido)</w:t>
            </w:r>
          </w:p>
        </w:tc>
        <w:tc>
          <w:tcPr>
            <w:tcW w:type="dxa" w:w="4608"/>
            <w:shd w:val="clear" w:color="auto" w:fill="FFFFFF"/>
          </w:tcPr>
          <w:p>
            <w:r>
              <w:t>422 / 401 según corresponde</w:t>
            </w:r>
          </w:p>
        </w:tc>
      </w:tr>
      <w:tr>
        <w:tc>
          <w:tcPr>
            <w:tcW w:type="dxa" w:w="5040"/>
            <w:shd w:val="clear" w:color="auto" w:fill="DDEEFF"/>
          </w:tcPr>
          <w:p>
            <w:r>
              <w:t>Evaluador: ciclón a 7,546 km</w:t>
            </w:r>
          </w:p>
        </w:tc>
        <w:tc>
          <w:tcPr>
            <w:tcW w:type="dxa" w:w="4608"/>
            <w:shd w:val="clear" w:color="auto" w:fill="DDEEFF"/>
          </w:tcPr>
          <w:p>
            <w:r>
              <w:t>out_of_range=True, no escribe en DB</w:t>
            </w:r>
          </w:p>
        </w:tc>
      </w:tr>
      <w:tr>
        <w:tc>
          <w:tcPr>
            <w:tcW w:type="dxa" w:w="5040"/>
            <w:shd w:val="clear" w:color="auto" w:fill="FFFFFF"/>
          </w:tcPr>
          <w:p>
            <w:r>
              <w:t>Evaluador: Cat-4 estacionario a 94 km</w:t>
            </w:r>
          </w:p>
        </w:tc>
        <w:tc>
          <w:tcPr>
            <w:tcW w:type="dxa" w:w="4608"/>
            <w:shd w:val="clear" w:color="auto" w:fill="FFFFFF"/>
          </w:tcPr>
          <w:p>
            <w:r>
              <w:t>ROJO (5), correcto</w:t>
            </w:r>
          </w:p>
        </w:tc>
      </w:tr>
    </w:tbl>
    <w:p/>
    <w:p>
      <w:pPr>
        <w:spacing w:before="200" w:after="40"/>
      </w:pPr>
      <w:r>
        <w:rPr>
          <w:b/>
          <w:color w:val="2E74B5"/>
          <w:sz w:val="24"/>
        </w:rPr>
        <w:t>Valor que aporta al proyecto BluEye</w:t>
      </w:r>
    </w:p>
    <w:p>
      <w:pPr>
        <w:spacing w:after="120"/>
      </w:pPr>
      <w:r>
        <w:t>Este módulo transforma tres fuentes de datos dispares — un feed JSON del gobierno de EE.UU., una API meteorológica comercial, y un sitio HTML del gobierno mexicano — en una respuesta única, consistente, resiliente y personalizada por usuario. La app móvil no necesita saber cómo funciona el NHC, ni qué es el SIAT-CT, ni cómo parsear el HTML del SMN. Esa complejidad está encapsulada en el backend, y el cliente consume una abstracción limpia y contractualmente estable.</w:t>
      </w:r>
    </w:p>
    <w:p>
      <w:pPr>
        <w:spacing w:before="200" w:after="40"/>
      </w:pPr>
      <w:r>
        <w:rPr>
          <w:b/>
          <w:color w:val="2E74B5"/>
          <w:sz w:val="24"/>
        </w:rPr>
        <w:t>Veredicto</w:t>
      </w:r>
    </w:p>
    <w:p>
      <w:r>
        <w:rPr>
          <w:b/>
          <w:color w:val="1A568A"/>
        </w:rPr>
        <w:t>La implementación cumple como MVP profesional. Los endpoints responden correctamente, la lógica de riesgo es coherente con la definición oficial del SIAT-CT, el sistema es resiliente a fallos de terceros, y está respaldado por 18 tests automatizados que cubren los casos de uso principales y los edge cases críticos.</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BluEye Backend — Módulo Alerts / SIAT-CT / SMN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