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Electron finder</w:t>
      </w:r>
    </w:p>
    <w:p>
      <w:pPr>
        <w:pStyle w:val="Subtitle"/>
        <w:jc w:val="center"/>
      </w:pPr>
      <w:r>
        <w:t>Directory, script and workflow guide</w:t>
      </w:r>
    </w:p>
    <w:p>
      <w:pPr>
        <w:pStyle w:val="Caption"/>
        <w:jc w:val="center"/>
      </w:pPr>
      <w:r>
        <w:t>Project snapshot: September 3, 2026</w:t>
      </w:r>
    </w:p>
    <w:p>
      <w:pPr/>
      <w:r>
        <w:t>This guide explains what is stored in the project, which scripts you run, and where to change inputs, physics selections, plots and printed reports. It covers the current shared package and the earlier studies kept in OLD/.</w:t>
      </w:r>
    </w:p>
    <w:p>
      <w:pPr>
        <w:pStyle w:val="Code"/>
        <w:keepLines/>
        <w:shd w:fill="F4F6F9"/>
      </w:pPr>
      <w:r>
        <w:t>/home/diego/eic/Analysis_epic/Electron_finder</w:t>
      </w:r>
    </w:p>
    <w:p>
      <w:pPr>
        <w:pStyle w:val="Heading1"/>
      </w:pPr>
      <w:r>
        <w:t>The project at a glance</w:t>
      </w:r>
    </w:p>
    <w:p>
      <w:pPr>
        <w:pStyle w:val="Code"/>
        <w:keepLines/>
        <w:shd w:fill="F4F6F9"/>
      </w:pPr>
      <w:r>
        <w:t>Electron_finder/</w:t>
        <w:br/>
        <w:t xml:space="preserve">  run_analysis.py          Full-file analysis and diagnostics</w:t>
        <w:br/>
        <w:t xml:space="preserve">  run_event_display.py     One-event tracks and cluster views</w:t>
        <w:br/>
        <w:t xml:space="preserve">  electron_finder/         Reusable Python analysis code</w:t>
        <w:br/>
        <w:t xml:space="preserve">  configs/                 Analysis settings</w:t>
        <w:br/>
        <w:t xml:space="preserve">  inputs/                  Lists of ROOT input files</w:t>
        <w:br/>
        <w:t xml:space="preserve">  results/                 Output directory for each run</w:t>
        <w:br/>
        <w:t xml:space="preserve">  tests/                   Regression and workflow checks</w:t>
        <w:br/>
        <w:t xml:space="preserve">  OLD/other/               Original DIS analysis scripts</w:t>
        <w:br/>
        <w:t xml:space="preserve">  OLD/single_electron/     Earlier single-electron studies</w:t>
        <w:br/>
        <w:t xml:space="preserve">  docs/                    This document</w:t>
        <w:br/>
        <w:t xml:space="preserve">  README.md                Command-line usage guide</w:t>
        <w:br/>
        <w:t xml:space="preserve">  4_E-pz_histograms.py      Separate E-pz study</w:t>
        <w:br/>
        <w:t xml:space="preserve">  *.txt, *.root            Additional file lists and local data</w:t>
      </w:r>
    </w:p>
    <w:p>
      <w:pPr>
        <w:pStyle w:val="Definition"/>
      </w:pPr>
      <w:r>
        <w:rPr>
          <w:b/>
        </w:rPr>
        <w:t xml:space="preserve">Normal workflow. </w:t>
      </w:r>
      <w:r>
        <w:t>First run the analysis over the ROOT file to obtain histograms and a summary. Then select an interesting event and use the event-display runner to inspect its projections and ECal clusters.</w:t>
      </w:r>
    </w:p>
    <w:p>
      <w:pPr>
        <w:pStyle w:val="Definition"/>
      </w:pPr>
      <w:r>
        <w:rPr>
          <w:b/>
        </w:rPr>
        <w:t xml:space="preserve">A useful distinction. </w:t>
      </w:r>
      <w:r>
        <w:t>run_analysis.py is the command you launch. electron_finder/analysis.py is an importable module containing the ElectronAnalysis class. OLD/other/Analysis.py is the archived single-event display script.</w:t>
      </w:r>
    </w:p>
    <w:p>
      <w:pPr>
        <w:pStyle w:val="Note"/>
      </w:pPr>
      <w:r>
        <w:t>Paths below are relative to the project directory unless an absolute path is shown. Generated output names describe the current code; an older run can contain fewer files.</w:t>
      </w:r>
    </w:p>
    <w:p>
      <w:pPr>
        <w:pStyle w:val="Heading1"/>
        <w:pageBreakBefore/>
      </w:pPr>
      <w:r>
        <w:t>Run the two everyday workflows</w:t>
      </w:r>
    </w:p>
    <w:p>
      <w:pPr/>
      <w:r>
        <w:t>Run these commands inside your existing EIC software environment, where Python can import ROOT and the EDM4hep/EDM4eic dictionaries. Start in the project directory:</w:t>
      </w:r>
    </w:p>
    <w:p>
      <w:pPr>
        <w:pStyle w:val="Code"/>
        <w:keepLines/>
        <w:shd w:fill="F4F6F9"/>
      </w:pPr>
      <w:r>
        <w:t>cd /home/diego/eic/Analysis_epic/Electron_finder</w:t>
      </w:r>
    </w:p>
    <w:p>
      <w:pPr>
        <w:pStyle w:val="Heading2"/>
      </w:pPr>
      <w:r>
        <w:t>Analyze every event</w:t>
      </w:r>
    </w:p>
    <w:p>
      <w:pPr>
        <w:pStyle w:val="Code"/>
        <w:keepLines/>
        <w:shd w:fill="F4F6F9"/>
      </w:pPr>
      <w:r>
        <w:t>python3 run_analysis.py analyze \</w:t>
        <w:br/>
        <w:t xml:space="preserve">  --file-list inputs/local_example.txt</w:t>
      </w:r>
    </w:p>
    <w:p>
      <w:pPr/>
      <w:r>
        <w:t>This reads all events, selects the MC electron, follows its reconstructed track to the calorimeter, matches clusters, and writes histograms and records. It prints the detailed Trial.py-style summary. Add --max-events 100 for a small first run.</w:t>
      </w:r>
    </w:p>
    <w:p>
      <w:pPr>
        <w:pStyle w:val="Heading2"/>
      </w:pPr>
      <w:r>
        <w:t>Inspect one event</w:t>
      </w:r>
    </w:p>
    <w:p>
      <w:pPr>
        <w:pStyle w:val="Code"/>
        <w:keepLines/>
        <w:shd w:fill="F4F6F9"/>
      </w:pPr>
      <w:r>
        <w:t>python3 run_event_display.py \</w:t>
        <w:br/>
        <w:t xml:space="preserve">  --file-list inputs/local_example.txt \</w:t>
        <w:br/>
        <w:t xml:space="preserve">  --event 1</w:t>
      </w:r>
    </w:p>
    <w:p>
      <w:pPr/>
      <w:r>
        <w:t>This reproduces the purpose of the old Analysis.py: it prints track and point details and draws the chosen event in 3D, XY, and RZ, including ECal clusters in the XY/RZ overlays. It shows all projected tracks in that event. Event 1 is the second entry because numbering starts at zero.</w:t>
      </w:r>
    </w:p>
    <w:p>
      <w:pPr>
        <w:pStyle w:val="Note"/>
      </w:pPr>
      <w:r>
        <w:t>The same display is available as run_analysis.py display.</w:t>
      </w:r>
    </w:p>
    <w:p>
      <w:pPr>
        <w:pStyle w:val="Heading2"/>
      </w:pPr>
      <w:r>
        <w:t>Other runner options</w:t>
      </w:r>
    </w:p>
    <w:tbl>
      <w:tblPr>
        <w:tblW w:type="dxa" w:w="9360"/>
        <w:jc w:val="left"/>
        <w:tblLayout w:type="fixed"/>
        <w:tblLook w:firstColumn="1" w:firstRow="1" w:lastColumn="0" w:lastRow="0" w:noHBand="0" w:noVBand="1" w:val="04A0"/>
        <w:tblInd w:type="dxa" w:w="120"/>
        <w:tblBorders>
          <w:top w:val="single" w:sz="4" w:color="D6DEE6"/>
          <w:left w:val="single" w:sz="4" w:color="D6DEE6"/>
          <w:bottom w:val="single" w:sz="4" w:color="D6DEE6"/>
          <w:right w:val="single" w:sz="4" w:color="D6DEE6"/>
          <w:insideH w:val="single" w:sz="4" w:color="D6DEE6"/>
          <w:insideV w:val="single" w:sz="4" w:color="D6DEE6"/>
        </w:tblBorders>
      </w:tblPr>
      <w:tblGrid>
        <w:gridCol w:w="3240"/>
        <w:gridCol w:w="6120"/>
      </w:tblGrid>
      <w:tr>
        <w:trPr>
          <w:tblHeader/>
          <w:cantSplit/>
        </w:trPr>
        <w:tc>
          <w:tcPr>
            <w:tcW w:type="dxa" w:w="3240"/>
            <w:shd w:fill="E8EEF5"/>
            <w:vAlign w:val="center"/>
            <w:tcMar>
              <w:top w:w="60" w:type="dxa"/>
              <w:bottom w:w="60" w:type="dxa"/>
              <w:start w:w="120" w:type="dxa"/>
              <w:end w:w="120" w:type="dxa"/>
            </w:tcMar>
          </w:tcPr>
          <w:p>
            <w:pPr>
              <w:pStyle w:val="TableHead"/>
            </w:pPr>
            <w:r>
              <w:t>Command or option</w:t>
            </w:r>
          </w:p>
        </w:tc>
        <w:tc>
          <w:tcPr>
            <w:tcW w:type="dxa" w:w="6120"/>
            <w:shd w:fill="E8EEF5"/>
            <w:vAlign w:val="center"/>
            <w:tcMar>
              <w:top w:w="60" w:type="dxa"/>
              <w:bottom w:w="60" w:type="dxa"/>
              <w:start w:w="120" w:type="dxa"/>
              <w:end w:w="120" w:type="dxa"/>
            </w:tcMar>
          </w:tcPr>
          <w:p>
            <w:pPr>
              <w:pStyle w:val="TableHead"/>
            </w:pPr>
            <w:r>
              <w:t>What it does</w:t>
            </w:r>
          </w:p>
        </w:tc>
      </w:tr>
      <w:tr>
        <w:trPr>
          <w:cantSplit/>
        </w:trPr>
        <w:tc>
          <w:tcPr>
            <w:tcW w:type="dxa" w:w="3240"/>
            <w:vAlign w:val="center"/>
            <w:tcMar>
              <w:top w:w="60" w:type="dxa"/>
              <w:bottom w:w="60" w:type="dxa"/>
              <w:start w:w="120" w:type="dxa"/>
              <w:end w:w="120" w:type="dxa"/>
            </w:tcMar>
          </w:tcPr>
          <w:p>
            <w:pPr>
              <w:pStyle w:val="CodeCell"/>
            </w:pPr>
            <w:r>
              <w:t>analyze --event 1</w:t>
            </w:r>
          </w:p>
        </w:tc>
        <w:tc>
          <w:tcPr>
            <w:tcW w:type="dxa" w:w="6120"/>
            <w:vAlign w:val="center"/>
            <w:tcMar>
              <w:top w:w="60" w:type="dxa"/>
              <w:bottom w:w="60" w:type="dxa"/>
              <w:start w:w="120" w:type="dxa"/>
              <w:end w:w="120" w:type="dxa"/>
            </w:tcMar>
          </w:tcPr>
          <w:p>
            <w:pPr>
              <w:pStyle w:val="TableText"/>
            </w:pPr>
            <w:r>
              <w:t>Runs the matching histograms for only entry 1. It does not request the geometric event display.</w:t>
            </w:r>
          </w:p>
        </w:tc>
      </w:tr>
      <w:tr>
        <w:trPr>
          <w:cantSplit/>
        </w:trPr>
        <w:tc>
          <w:tcPr>
            <w:tcW w:type="dxa" w:w="3240"/>
            <w:vAlign w:val="center"/>
            <w:tcMar>
              <w:top w:w="60" w:type="dxa"/>
              <w:bottom w:w="60" w:type="dxa"/>
              <w:start w:w="120" w:type="dxa"/>
              <w:end w:w="120" w:type="dxa"/>
            </w:tcMar>
          </w:tcPr>
          <w:p>
            <w:pPr>
              <w:pStyle w:val="CodeCell"/>
            </w:pPr>
            <w:r>
              <w:t>parents</w:t>
            </w:r>
          </w:p>
        </w:tc>
        <w:tc>
          <w:tcPr>
            <w:tcW w:type="dxa" w:w="6120"/>
            <w:vAlign w:val="center"/>
            <w:tcMar>
              <w:top w:w="60" w:type="dxa"/>
              <w:bottom w:w="60" w:type="dxa"/>
              <w:start w:w="120" w:type="dxa"/>
              <w:end w:w="120" w:type="dxa"/>
            </w:tcMar>
          </w:tcPr>
          <w:p>
            <w:pPr>
              <w:pStyle w:val="TableText"/>
            </w:pPr>
            <w:r>
              <w:t>Checks the first status-1 electron and its first parent; no parent-status veto is applied.</w:t>
            </w:r>
          </w:p>
        </w:tc>
      </w:tr>
      <w:tr>
        <w:trPr>
          <w:cantSplit/>
        </w:trPr>
        <w:tc>
          <w:tcPr>
            <w:tcW w:type="dxa" w:w="3240"/>
            <w:vAlign w:val="center"/>
            <w:tcMar>
              <w:top w:w="60" w:type="dxa"/>
              <w:bottom w:w="60" w:type="dxa"/>
              <w:start w:w="120" w:type="dxa"/>
              <w:end w:w="120" w:type="dxa"/>
            </w:tcMar>
          </w:tcPr>
          <w:p>
            <w:pPr>
              <w:pStyle w:val="CodeCell"/>
            </w:pPr>
            <w:r>
              <w:t>plot --results &lt;run&gt;</w:t>
            </w:r>
          </w:p>
        </w:tc>
        <w:tc>
          <w:tcPr>
            <w:tcW w:type="dxa" w:w="6120"/>
            <w:vAlign w:val="center"/>
            <w:tcMar>
              <w:top w:w="60" w:type="dxa"/>
              <w:bottom w:w="60" w:type="dxa"/>
              <w:start w:w="120" w:type="dxa"/>
              <w:end w:w="120" w:type="dxa"/>
            </w:tcMar>
          </w:tcPr>
          <w:p>
            <w:pPr>
              <w:pStyle w:val="TableText"/>
            </w:pPr>
            <w:r>
              <w:t>Redraws matching figures from saved analysis.root and config.json.</w:t>
            </w:r>
          </w:p>
        </w:tc>
      </w:tr>
      <w:tr>
        <w:trPr>
          <w:cantSplit/>
        </w:trPr>
        <w:tc>
          <w:tcPr>
            <w:tcW w:type="dxa" w:w="3240"/>
            <w:vAlign w:val="center"/>
            <w:tcMar>
              <w:top w:w="60" w:type="dxa"/>
              <w:bottom w:w="60" w:type="dxa"/>
              <w:start w:w="120" w:type="dxa"/>
              <w:end w:w="120" w:type="dxa"/>
            </w:tcMar>
          </w:tcPr>
          <w:p>
            <w:pPr>
              <w:pStyle w:val="CodeCell"/>
            </w:pPr>
            <w:r>
              <w:t>--output results/&lt;name&gt;</w:t>
            </w:r>
          </w:p>
        </w:tc>
        <w:tc>
          <w:tcPr>
            <w:tcW w:type="dxa" w:w="6120"/>
            <w:vAlign w:val="center"/>
            <w:tcMar>
              <w:top w:w="60" w:type="dxa"/>
              <w:bottom w:w="60" w:type="dxa"/>
              <w:start w:w="120" w:type="dxa"/>
              <w:end w:w="120" w:type="dxa"/>
            </w:tcMar>
          </w:tcPr>
          <w:p>
            <w:pPr>
              <w:pStyle w:val="TableText"/>
            </w:pPr>
            <w:r>
              <w:t>Chooses a new or empty result directory. Otherwise a timestamped directory is created.</w:t>
            </w:r>
          </w:p>
        </w:tc>
      </w:tr>
      <w:tr>
        <w:trPr>
          <w:cantSplit/>
        </w:trPr>
        <w:tc>
          <w:tcPr>
            <w:tcW w:type="dxa" w:w="3240"/>
            <w:vAlign w:val="center"/>
            <w:tcMar>
              <w:top w:w="60" w:type="dxa"/>
              <w:bottom w:w="60" w:type="dxa"/>
              <w:start w:w="120" w:type="dxa"/>
              <w:end w:w="120" w:type="dxa"/>
            </w:tcMar>
          </w:tcPr>
          <w:p>
            <w:pPr>
              <w:pStyle w:val="CodeCell"/>
            </w:pPr>
            <w:r>
              <w:t>--help</w:t>
            </w:r>
          </w:p>
        </w:tc>
        <w:tc>
          <w:tcPr>
            <w:tcW w:type="dxa" w:w="6120"/>
            <w:vAlign w:val="center"/>
            <w:tcMar>
              <w:top w:w="60" w:type="dxa"/>
              <w:bottom w:w="60" w:type="dxa"/>
              <w:start w:w="120" w:type="dxa"/>
              <w:end w:w="120" w:type="dxa"/>
            </w:tcMar>
          </w:tcPr>
          <w:p>
            <w:pPr>
              <w:pStyle w:val="TableText"/>
            </w:pPr>
            <w:r>
              <w:t>Shows arguments for the selected runner or command.</w:t>
            </w:r>
          </w:p>
        </w:tc>
      </w:tr>
    </w:tbl>
    <w:p>
      <w:pPr>
        <w:pStyle w:val="Heading1"/>
        <w:pageBreakBefore/>
      </w:pPr>
      <w:r>
        <w:t>electron_finder/: shared analysis code</w:t>
      </w:r>
    </w:p>
    <w:p>
      <w:pPr/>
      <w:r>
        <w:t>These modules are imported by the runners. Importing the package does not launch an analysis or open input files. One ElectronAnalysis object holds the settings, histograms and counters for one run.</w:t>
      </w:r>
    </w:p>
    <w:tbl>
      <w:tblPr>
        <w:tblW w:type="dxa" w:w="9360"/>
        <w:jc w:val="left"/>
        <w:tblLayout w:type="fixed"/>
        <w:tblLook w:firstColumn="1" w:firstRow="1" w:lastColumn="0" w:lastRow="0" w:noHBand="0" w:noVBand="1" w:val="04A0"/>
        <w:tblInd w:type="dxa" w:w="120"/>
        <w:tblBorders>
          <w:top w:val="single" w:sz="4" w:color="D6DEE6"/>
          <w:left w:val="single" w:sz="4" w:color="D6DEE6"/>
          <w:bottom w:val="single" w:sz="4" w:color="D6DEE6"/>
          <w:right w:val="single" w:sz="4" w:color="D6DEE6"/>
          <w:insideH w:val="single" w:sz="4" w:color="D6DEE6"/>
          <w:insideV w:val="single" w:sz="4" w:color="D6DEE6"/>
        </w:tblBorders>
      </w:tblPr>
      <w:tblGrid>
        <w:gridCol w:w="2570"/>
        <w:gridCol w:w="6790"/>
      </w:tblGrid>
      <w:tr>
        <w:trPr>
          <w:tblHeader/>
          <w:cantSplit/>
        </w:trPr>
        <w:tc>
          <w:tcPr>
            <w:tcW w:type="dxa" w:w="2570"/>
            <w:shd w:fill="E8EEF5"/>
            <w:vAlign w:val="center"/>
            <w:tcMar>
              <w:top w:w="60" w:type="dxa"/>
              <w:bottom w:w="60" w:type="dxa"/>
              <w:start w:w="120" w:type="dxa"/>
              <w:end w:w="120" w:type="dxa"/>
            </w:tcMar>
          </w:tcPr>
          <w:p>
            <w:pPr>
              <w:pStyle w:val="TableHead"/>
            </w:pPr>
            <w:r>
              <w:t>File</w:t>
            </w:r>
          </w:p>
        </w:tc>
        <w:tc>
          <w:tcPr>
            <w:tcW w:type="dxa" w:w="6790"/>
            <w:shd w:fill="E8EEF5"/>
            <w:vAlign w:val="center"/>
            <w:tcMar>
              <w:top w:w="60" w:type="dxa"/>
              <w:bottom w:w="60" w:type="dxa"/>
              <w:start w:w="120" w:type="dxa"/>
              <w:end w:w="120" w:type="dxa"/>
            </w:tcMar>
          </w:tcPr>
          <w:p>
            <w:pPr>
              <w:pStyle w:val="TableHead"/>
            </w:pPr>
            <w:r>
              <w:t>Responsibility and main interface</w:t>
            </w:r>
          </w:p>
        </w:tc>
      </w:tr>
      <w:tr>
        <w:trPr>
          <w:cantSplit/>
        </w:trPr>
        <w:tc>
          <w:tcPr>
            <w:tcW w:type="dxa" w:w="2570"/>
            <w:vAlign w:val="center"/>
            <w:tcMar>
              <w:top w:w="60" w:type="dxa"/>
              <w:bottom w:w="60" w:type="dxa"/>
              <w:start w:w="120" w:type="dxa"/>
              <w:end w:w="120" w:type="dxa"/>
            </w:tcMar>
          </w:tcPr>
          <w:p>
            <w:pPr>
              <w:pStyle w:val="CodeCell"/>
            </w:pPr>
            <w:r>
              <w:t>__init__.py</w:t>
            </w:r>
          </w:p>
        </w:tc>
        <w:tc>
          <w:tcPr>
            <w:tcW w:type="dxa" w:w="6790"/>
            <w:vAlign w:val="center"/>
            <w:tcMar>
              <w:top w:w="60" w:type="dxa"/>
              <w:bottom w:w="60" w:type="dxa"/>
              <w:start w:w="120" w:type="dxa"/>
              <w:end w:w="120" w:type="dxa"/>
            </w:tcMar>
          </w:tcPr>
          <w:p>
            <w:pPr>
              <w:pStyle w:val="TableText"/>
            </w:pPr>
            <w:r>
              <w:t>Defines the package and exposes AnalysisConfig.</w:t>
            </w:r>
          </w:p>
        </w:tc>
      </w:tr>
      <w:tr>
        <w:trPr>
          <w:cantSplit/>
        </w:trPr>
        <w:tc>
          <w:tcPr>
            <w:tcW w:type="dxa" w:w="2570"/>
            <w:vAlign w:val="center"/>
            <w:tcMar>
              <w:top w:w="60" w:type="dxa"/>
              <w:bottom w:w="60" w:type="dxa"/>
              <w:start w:w="120" w:type="dxa"/>
              <w:end w:w="120" w:type="dxa"/>
            </w:tcMar>
          </w:tcPr>
          <w:p>
            <w:pPr>
              <w:pStyle w:val="CodeCell"/>
            </w:pPr>
            <w:r>
              <w:t>config.py</w:t>
            </w:r>
          </w:p>
        </w:tc>
        <w:tc>
          <w:tcPr>
            <w:tcW w:type="dxa" w:w="6790"/>
            <w:vAlign w:val="center"/>
            <w:tcMar>
              <w:top w:w="60" w:type="dxa"/>
              <w:bottom w:w="60" w:type="dxa"/>
              <w:start w:w="120" w:type="dxa"/>
              <w:end w:w="120" w:type="dxa"/>
            </w:tcMar>
          </w:tcPr>
          <w:p>
            <w:pPr>
              <w:pStyle w:val="TableText"/>
            </w:pPr>
            <w:r>
              <w:t>AnalysisConfig stores and validates settings. load() reads JSON and applies explicit overrides.</w:t>
            </w:r>
          </w:p>
        </w:tc>
      </w:tr>
      <w:tr>
        <w:trPr>
          <w:cantSplit/>
        </w:trPr>
        <w:tc>
          <w:tcPr>
            <w:tcW w:type="dxa" w:w="2570"/>
            <w:vAlign w:val="center"/>
            <w:tcMar>
              <w:top w:w="60" w:type="dxa"/>
              <w:bottom w:w="60" w:type="dxa"/>
              <w:start w:w="120" w:type="dxa"/>
              <w:end w:w="120" w:type="dxa"/>
            </w:tcMar>
          </w:tcPr>
          <w:p>
            <w:pPr>
              <w:pStyle w:val="CodeCell"/>
            </w:pPr>
            <w:r>
              <w:t>io.py</w:t>
            </w:r>
          </w:p>
        </w:tc>
        <w:tc>
          <w:tcPr>
            <w:tcW w:type="dxa" w:w="6790"/>
            <w:vAlign w:val="center"/>
            <w:tcMar>
              <w:top w:w="60" w:type="dxa"/>
              <w:bottom w:w="60" w:type="dxa"/>
              <w:start w:w="120" w:type="dxa"/>
              <w:end w:w="120" w:type="dxa"/>
            </w:tcMar>
          </w:tcPr>
          <w:p>
            <w:pPr>
              <w:pStyle w:val="TableText"/>
            </w:pPr>
            <w:r>
              <w:t>Resolves file lists, validates ROOT files/trees/branches, builds the TChain, selects entries, and writes output records.</w:t>
            </w:r>
          </w:p>
        </w:tc>
      </w:tr>
      <w:tr>
        <w:trPr>
          <w:cantSplit/>
        </w:trPr>
        <w:tc>
          <w:tcPr>
            <w:tcW w:type="dxa" w:w="2570"/>
            <w:vAlign w:val="center"/>
            <w:tcMar>
              <w:top w:w="60" w:type="dxa"/>
              <w:bottom w:w="60" w:type="dxa"/>
              <w:start w:w="120" w:type="dxa"/>
              <w:end w:w="120" w:type="dxa"/>
            </w:tcMar>
          </w:tcPr>
          <w:p>
            <w:pPr>
              <w:pStyle w:val="CodeCell"/>
            </w:pPr>
            <w:r>
              <w:t>physics.py</w:t>
            </w:r>
          </w:p>
        </w:tc>
        <w:tc>
          <w:tcPr>
            <w:tcW w:type="dxa" w:w="6790"/>
            <w:vAlign w:val="center"/>
            <w:tcMar>
              <w:top w:w="60" w:type="dxa"/>
              <w:bottom w:w="60" w:type="dxa"/>
              <w:start w:w="120" w:type="dxa"/>
              <w:end w:w="120" w:type="dxa"/>
            </w:tcMar>
          </w:tcPr>
          <w:p>
            <w:pPr>
              <w:pStyle w:val="TableText"/>
            </w:pPr>
            <w:r>
              <w:t>Calculates momentum, energy, spherical radius, polar angle and position-based pseudorapidity.</w:t>
            </w:r>
          </w:p>
        </w:tc>
      </w:tr>
      <w:tr>
        <w:trPr>
          <w:cantSplit/>
        </w:trPr>
        <w:tc>
          <w:tcPr>
            <w:tcW w:type="dxa" w:w="2570"/>
            <w:vAlign w:val="center"/>
            <w:tcMar>
              <w:top w:w="60" w:type="dxa"/>
              <w:bottom w:w="60" w:type="dxa"/>
              <w:start w:w="120" w:type="dxa"/>
              <w:end w:w="120" w:type="dxa"/>
            </w:tcMar>
          </w:tcPr>
          <w:p>
            <w:pPr>
              <w:pStyle w:val="CodeCell"/>
            </w:pPr>
            <w:r>
              <w:t>truth.py</w:t>
            </w:r>
          </w:p>
        </w:tc>
        <w:tc>
          <w:tcPr>
            <w:tcW w:type="dxa" w:w="6790"/>
            <w:vAlign w:val="center"/>
            <w:tcMar>
              <w:top w:w="60" w:type="dxa"/>
              <w:bottom w:w="60" w:type="dxa"/>
              <w:start w:w="120" w:type="dxa"/>
              <w:end w:w="120" w:type="dxa"/>
            </w:tcMar>
          </w:tcPr>
          <w:p>
            <w:pPr>
              <w:pStyle w:val="TableText"/>
            </w:pPr>
            <w:r>
              <w:t>Gets first-parent information and selects the first MC electron satisfying the study definition.</w:t>
            </w:r>
          </w:p>
        </w:tc>
      </w:tr>
      <w:tr>
        <w:trPr>
          <w:cantSplit/>
        </w:trPr>
        <w:tc>
          <w:tcPr>
            <w:tcW w:type="dxa" w:w="2570"/>
            <w:vAlign w:val="center"/>
            <w:tcMar>
              <w:top w:w="60" w:type="dxa"/>
              <w:bottom w:w="60" w:type="dxa"/>
              <w:start w:w="120" w:type="dxa"/>
              <w:end w:w="120" w:type="dxa"/>
            </w:tcMar>
          </w:tcPr>
          <w:p>
            <w:pPr>
              <w:pStyle w:val="CodeCell"/>
            </w:pPr>
            <w:r>
              <w:t>matching.py</w:t>
            </w:r>
          </w:p>
        </w:tc>
        <w:tc>
          <w:tcPr>
            <w:tcW w:type="dxa" w:w="6790"/>
            <w:vAlign w:val="center"/>
            <w:tcMar>
              <w:top w:w="60" w:type="dxa"/>
              <w:bottom w:w="60" w:type="dxa"/>
              <w:start w:w="120" w:type="dxa"/>
              <w:end w:w="120" w:type="dxa"/>
            </w:tcMar>
          </w:tcPr>
          <w:p>
            <w:pPr>
              <w:pStyle w:val="TableText"/>
            </w:pPr>
            <w:r>
              <w:t>Resolves MC/reco/track associations, finds projection points, and chooses nearest clusters with and without E/p.</w:t>
            </w:r>
          </w:p>
        </w:tc>
      </w:tr>
      <w:tr>
        <w:trPr>
          <w:cantSplit/>
        </w:trPr>
        <w:tc>
          <w:tcPr>
            <w:tcW w:type="dxa" w:w="2570"/>
            <w:vAlign w:val="center"/>
            <w:tcMar>
              <w:top w:w="60" w:type="dxa"/>
              <w:bottom w:w="60" w:type="dxa"/>
              <w:start w:w="120" w:type="dxa"/>
              <w:end w:w="120" w:type="dxa"/>
            </w:tcMar>
          </w:tcPr>
          <w:p>
            <w:pPr>
              <w:pStyle w:val="CodeCell"/>
            </w:pPr>
            <w:r>
              <w:t>histograms.py</w:t>
            </w:r>
          </w:p>
        </w:tc>
        <w:tc>
          <w:tcPr>
            <w:tcW w:type="dxa" w:w="6790"/>
            <w:vAlign w:val="center"/>
            <w:tcMar>
              <w:top w:w="60" w:type="dxa"/>
              <w:bottom w:w="60" w:type="dxa"/>
              <w:start w:w="120" w:type="dxa"/>
              <w:end w:w="120" w:type="dxa"/>
            </w:tcMar>
          </w:tcPr>
          <w:p>
            <w:pPr>
              <w:pStyle w:val="TableText"/>
            </w:pPr>
            <w:r>
              <w:t>Books histogram names, titles and binning. Edit here to change the histogram definitions.</w:t>
            </w:r>
          </w:p>
        </w:tc>
      </w:tr>
      <w:tr>
        <w:trPr>
          <w:cantSplit/>
        </w:trPr>
        <w:tc>
          <w:tcPr>
            <w:tcW w:type="dxa" w:w="2570"/>
            <w:vAlign w:val="center"/>
            <w:tcMar>
              <w:top w:w="60" w:type="dxa"/>
              <w:bottom w:w="60" w:type="dxa"/>
              <w:start w:w="120" w:type="dxa"/>
              <w:end w:w="120" w:type="dxa"/>
            </w:tcMar>
          </w:tcPr>
          <w:p>
            <w:pPr>
              <w:pStyle w:val="CodeCell"/>
            </w:pPr>
            <w:r>
              <w:t>analysis.py</w:t>
            </w:r>
          </w:p>
        </w:tc>
        <w:tc>
          <w:tcPr>
            <w:tcW w:type="dxa" w:w="6790"/>
            <w:vAlign w:val="center"/>
            <w:tcMar>
              <w:top w:w="60" w:type="dxa"/>
              <w:bottom w:w="60" w:type="dxa"/>
              <w:start w:w="120" w:type="dxa"/>
              <w:end w:w="120" w:type="dxa"/>
            </w:tcMar>
          </w:tcPr>
          <w:p>
            <w:pPr>
              <w:pStyle w:val="TableText"/>
            </w:pPr>
            <w:r>
              <w:t>ElectronAnalysis implements process_event(), run(), summary(), print_summary() and save_results().</w:t>
            </w:r>
          </w:p>
        </w:tc>
      </w:tr>
      <w:tr>
        <w:trPr>
          <w:cantSplit/>
        </w:trPr>
        <w:tc>
          <w:tcPr>
            <w:tcW w:type="dxa" w:w="2570"/>
            <w:vAlign w:val="center"/>
            <w:tcMar>
              <w:top w:w="60" w:type="dxa"/>
              <w:bottom w:w="60" w:type="dxa"/>
              <w:start w:w="120" w:type="dxa"/>
              <w:end w:w="120" w:type="dxa"/>
            </w:tcMar>
          </w:tcPr>
          <w:p>
            <w:pPr>
              <w:pStyle w:val="CodeCell"/>
            </w:pPr>
            <w:r>
              <w:t>plotting.py</w:t>
            </w:r>
          </w:p>
        </w:tc>
        <w:tc>
          <w:tcPr>
            <w:tcW w:type="dxa" w:w="6790"/>
            <w:vAlign w:val="center"/>
            <w:tcMar>
              <w:top w:w="60" w:type="dxa"/>
              <w:bottom w:w="60" w:type="dxa"/>
              <w:start w:w="120" w:type="dxa"/>
              <w:end w:w="120" w:type="dxa"/>
            </w:tcMar>
          </w:tcPr>
          <w:p>
            <w:pPr>
              <w:pStyle w:val="TableText"/>
            </w:pPr>
            <w:r>
              <w:t>Draws the eight matching figures. plot_saved_results() reads an existing result instead of the event inputs.</w:t>
            </w:r>
          </w:p>
        </w:tc>
      </w:tr>
      <w:tr>
        <w:trPr>
          <w:cantSplit/>
        </w:trPr>
        <w:tc>
          <w:tcPr>
            <w:tcW w:type="dxa" w:w="2570"/>
            <w:vAlign w:val="center"/>
            <w:tcMar>
              <w:top w:w="60" w:type="dxa"/>
              <w:bottom w:w="60" w:type="dxa"/>
              <w:start w:w="120" w:type="dxa"/>
              <w:end w:w="120" w:type="dxa"/>
            </w:tcMar>
          </w:tcPr>
          <w:p>
            <w:pPr>
              <w:pStyle w:val="CodeCell"/>
            </w:pPr>
            <w:r>
              <w:t>diagnostics.py</w:t>
            </w:r>
          </w:p>
        </w:tc>
        <w:tc>
          <w:tcPr>
            <w:tcW w:type="dxa" w:w="6790"/>
            <w:vAlign w:val="center"/>
            <w:tcMar>
              <w:top w:w="60" w:type="dxa"/>
              <w:bottom w:w="60" w:type="dxa"/>
              <w:start w:w="120" w:type="dxa"/>
              <w:end w:w="120" w:type="dxa"/>
            </w:tcMar>
          </w:tcPr>
          <w:p>
            <w:pPr>
              <w:pStyle w:val="TableText"/>
            </w:pPr>
            <w:r>
              <w:t>Inspects and draws one event, and runs the parent-particle check.</w:t>
            </w:r>
          </w:p>
        </w:tc>
      </w:tr>
      <w:tr>
        <w:trPr>
          <w:cantSplit/>
        </w:trPr>
        <w:tc>
          <w:tcPr>
            <w:tcW w:type="dxa" w:w="2570"/>
            <w:vAlign w:val="center"/>
            <w:tcMar>
              <w:top w:w="60" w:type="dxa"/>
              <w:bottom w:w="60" w:type="dxa"/>
              <w:start w:w="120" w:type="dxa"/>
              <w:end w:w="120" w:type="dxa"/>
            </w:tcMar>
          </w:tcPr>
          <w:p>
            <w:pPr>
              <w:pStyle w:val="CodeCell"/>
            </w:pPr>
            <w:r>
              <w:t>reporting.py</w:t>
            </w:r>
          </w:p>
        </w:tc>
        <w:tc>
          <w:tcPr>
            <w:tcW w:type="dxa" w:w="6790"/>
            <w:vAlign w:val="center"/>
            <w:tcMar>
              <w:top w:w="60" w:type="dxa"/>
              <w:bottom w:w="60" w:type="dxa"/>
              <w:start w:w="120" w:type="dxa"/>
              <w:end w:w="120" w:type="dxa"/>
            </w:tcMar>
          </w:tcPr>
          <w:p>
            <w:pPr>
              <w:pStyle w:val="TableText"/>
            </w:pPr>
            <w:r>
              <w:t>Formats the detailed analysis summary and the per-event track/cluster printout as readable text.</w:t>
            </w:r>
          </w:p>
        </w:tc>
      </w:tr>
    </w:tbl>
    <w:p>
      <w:pPr>
        <w:spacing w:before="120"/>
      </w:pPr>
      <w:r>
        <w:t>The runner loads configuration and inputs, then calls analysis.py or diagnostics.py. Both use the shared physics and matching functions; io.py writes records and reporting.py formats the text.</w:t>
      </w:r>
    </w:p>
    <w:p>
      <w:pPr>
        <w:pStyle w:val="Note"/>
      </w:pPr>
      <w:r>
        <w:t>If you use the class directly, create a new instance for each run. Calling summary() finalizes that instance; use print_summary() to print its report.</w:t>
      </w:r>
    </w:p>
    <w:p>
      <w:pPr>
        <w:pStyle w:val="Heading1"/>
        <w:pageBreakBefore/>
      </w:pPr>
      <w:r>
        <w:t>configs/ and inputs/: choose the study</w:t>
      </w:r>
    </w:p>
    <w:p>
      <w:pPr>
        <w:pStyle w:val="Definition"/>
      </w:pPr>
      <w:r>
        <w:rPr>
          <w:b/>
        </w:rPr>
        <w:t xml:space="preserve">configs/baseline.json </w:t>
      </w:r>
      <w:r>
        <w:t>Default settings. Copy this JSON file to preserve a named study; command-line E/p and distance options override it for that run.</w:t>
      </w:r>
    </w:p>
    <w:tbl>
      <w:tblPr>
        <w:tblW w:type="dxa" w:w="9360"/>
        <w:jc w:val="left"/>
        <w:tblLayout w:type="fixed"/>
        <w:tblLook w:firstColumn="1" w:firstRow="1" w:lastColumn="0" w:lastRow="0" w:noHBand="0" w:noVBand="1" w:val="04A0"/>
        <w:tblInd w:type="dxa" w:w="120"/>
        <w:tblBorders>
          <w:top w:val="single" w:sz="4" w:color="D6DEE6"/>
          <w:left w:val="single" w:sz="4" w:color="D6DEE6"/>
          <w:bottom w:val="single" w:sz="4" w:color="D6DEE6"/>
          <w:right w:val="single" w:sz="4" w:color="D6DEE6"/>
          <w:insideH w:val="single" w:sz="4" w:color="D6DEE6"/>
          <w:insideV w:val="single" w:sz="4" w:color="D6DEE6"/>
        </w:tblBorders>
      </w:tblPr>
      <w:tblGrid>
        <w:gridCol w:w="2900"/>
        <w:gridCol w:w="2520"/>
        <w:gridCol w:w="3940"/>
      </w:tblGrid>
      <w:tr>
        <w:trPr>
          <w:tblHeader/>
          <w:cantSplit/>
        </w:trPr>
        <w:tc>
          <w:tcPr>
            <w:tcW w:type="dxa" w:w="2900"/>
            <w:shd w:fill="E8EEF5"/>
            <w:vAlign w:val="center"/>
            <w:tcMar>
              <w:top w:w="60" w:type="dxa"/>
              <w:bottom w:w="60" w:type="dxa"/>
              <w:start w:w="120" w:type="dxa"/>
              <w:end w:w="120" w:type="dxa"/>
            </w:tcMar>
          </w:tcPr>
          <w:p>
            <w:pPr>
              <w:pStyle w:val="TableHead"/>
            </w:pPr>
            <w:r>
              <w:t>Setting</w:t>
            </w:r>
          </w:p>
        </w:tc>
        <w:tc>
          <w:tcPr>
            <w:tcW w:type="dxa" w:w="2520"/>
            <w:shd w:fill="E8EEF5"/>
            <w:vAlign w:val="center"/>
            <w:tcMar>
              <w:top w:w="60" w:type="dxa"/>
              <w:bottom w:w="60" w:type="dxa"/>
              <w:start w:w="120" w:type="dxa"/>
              <w:end w:w="120" w:type="dxa"/>
            </w:tcMar>
          </w:tcPr>
          <w:p>
            <w:pPr>
              <w:pStyle w:val="TableHead"/>
            </w:pPr>
            <w:r>
              <w:t>Default</w:t>
            </w:r>
          </w:p>
        </w:tc>
        <w:tc>
          <w:tcPr>
            <w:tcW w:type="dxa" w:w="3940"/>
            <w:shd w:fill="E8EEF5"/>
            <w:vAlign w:val="center"/>
            <w:tcMar>
              <w:top w:w="60" w:type="dxa"/>
              <w:bottom w:w="60" w:type="dxa"/>
              <w:start w:w="120" w:type="dxa"/>
              <w:end w:w="120" w:type="dxa"/>
            </w:tcMar>
          </w:tcPr>
          <w:p>
            <w:pPr>
              <w:pStyle w:val="TableHead"/>
            </w:pPr>
            <w:r>
              <w:t>Meaning</w:t>
            </w:r>
          </w:p>
        </w:tc>
      </w:tr>
      <w:tr>
        <w:trPr>
          <w:cantSplit/>
        </w:trPr>
        <w:tc>
          <w:tcPr>
            <w:tcW w:type="dxa" w:w="2900"/>
            <w:vAlign w:val="center"/>
            <w:tcMar>
              <w:top w:w="60" w:type="dxa"/>
              <w:bottom w:w="60" w:type="dxa"/>
              <w:start w:w="120" w:type="dxa"/>
              <w:end w:w="120" w:type="dxa"/>
            </w:tcMar>
          </w:tcPr>
          <w:p>
            <w:pPr>
              <w:pStyle w:val="CodeCell"/>
            </w:pPr>
            <w:r>
              <w:t>event_tree</w:t>
            </w:r>
          </w:p>
        </w:tc>
        <w:tc>
          <w:tcPr>
            <w:tcW w:type="dxa" w:w="2520"/>
            <w:vAlign w:val="center"/>
            <w:tcMar>
              <w:top w:w="60" w:type="dxa"/>
              <w:bottom w:w="60" w:type="dxa"/>
              <w:start w:w="120" w:type="dxa"/>
              <w:end w:w="120" w:type="dxa"/>
            </w:tcMar>
          </w:tcPr>
          <w:p>
            <w:pPr>
              <w:pStyle w:val="TableText"/>
            </w:pPr>
            <w:r>
              <w:t>events</w:t>
            </w:r>
          </w:p>
        </w:tc>
        <w:tc>
          <w:tcPr>
            <w:tcW w:type="dxa" w:w="3940"/>
            <w:vAlign w:val="center"/>
            <w:tcMar>
              <w:top w:w="60" w:type="dxa"/>
              <w:bottom w:w="60" w:type="dxa"/>
              <w:start w:w="120" w:type="dxa"/>
              <w:end w:w="120" w:type="dxa"/>
            </w:tcMar>
          </w:tcPr>
          <w:p>
            <w:pPr>
              <w:pStyle w:val="TableText"/>
            </w:pPr>
            <w:r>
              <w:t>Input ROOT TTree name.</w:t>
            </w:r>
          </w:p>
        </w:tc>
      </w:tr>
      <w:tr>
        <w:trPr>
          <w:cantSplit/>
        </w:trPr>
        <w:tc>
          <w:tcPr>
            <w:tcW w:type="dxa" w:w="2900"/>
            <w:vAlign w:val="center"/>
            <w:tcMar>
              <w:top w:w="60" w:type="dxa"/>
              <w:bottom w:w="60" w:type="dxa"/>
              <w:start w:w="120" w:type="dxa"/>
              <w:end w:w="120" w:type="dxa"/>
            </w:tcMar>
          </w:tcPr>
          <w:p>
            <w:pPr>
              <w:pStyle w:val="CodeCell"/>
            </w:pPr>
            <w:r>
              <w:t>cluster_collection</w:t>
            </w:r>
          </w:p>
        </w:tc>
        <w:tc>
          <w:tcPr>
            <w:tcW w:type="dxa" w:w="2520"/>
            <w:vAlign w:val="center"/>
            <w:tcMar>
              <w:top w:w="60" w:type="dxa"/>
              <w:bottom w:w="60" w:type="dxa"/>
              <w:start w:w="120" w:type="dxa"/>
              <w:end w:w="120" w:type="dxa"/>
            </w:tcMar>
          </w:tcPr>
          <w:p>
            <w:pPr>
              <w:pStyle w:val="TableText"/>
            </w:pPr>
            <w:r>
              <w:t>EcalBarrelClusters</w:t>
            </w:r>
          </w:p>
        </w:tc>
        <w:tc>
          <w:tcPr>
            <w:tcW w:type="dxa" w:w="3940"/>
            <w:vAlign w:val="center"/>
            <w:tcMar>
              <w:top w:w="60" w:type="dxa"/>
              <w:bottom w:w="60" w:type="dxa"/>
              <w:start w:w="120" w:type="dxa"/>
              <w:end w:w="120" w:type="dxa"/>
            </w:tcMar>
          </w:tcPr>
          <w:p>
            <w:pPr>
              <w:pStyle w:val="TableText"/>
            </w:pPr>
            <w:r>
              <w:t>Cluster branch to use.</w:t>
            </w:r>
          </w:p>
        </w:tc>
      </w:tr>
      <w:tr>
        <w:trPr>
          <w:cantSplit/>
        </w:trPr>
        <w:tc>
          <w:tcPr>
            <w:tcW w:type="dxa" w:w="2900"/>
            <w:vAlign w:val="center"/>
            <w:tcMar>
              <w:top w:w="60" w:type="dxa"/>
              <w:bottom w:w="60" w:type="dxa"/>
              <w:start w:w="120" w:type="dxa"/>
              <w:end w:w="120" w:type="dxa"/>
            </w:tcMar>
          </w:tcPr>
          <w:p>
            <w:pPr>
              <w:pStyle w:val="CodeCell"/>
            </w:pPr>
            <w:r>
              <w:t>ecal_system</w:t>
            </w:r>
          </w:p>
        </w:tc>
        <w:tc>
          <w:tcPr>
            <w:tcW w:type="dxa" w:w="2520"/>
            <w:vAlign w:val="center"/>
            <w:tcMar>
              <w:top w:w="60" w:type="dxa"/>
              <w:bottom w:w="60" w:type="dxa"/>
              <w:start w:w="120" w:type="dxa"/>
              <w:end w:w="120" w:type="dxa"/>
            </w:tcMar>
          </w:tcPr>
          <w:p>
            <w:pPr>
              <w:pStyle w:val="TableText"/>
            </w:pPr>
            <w:r>
              <w:t>101</w:t>
            </w:r>
          </w:p>
        </w:tc>
        <w:tc>
          <w:tcPr>
            <w:tcW w:type="dxa" w:w="3940"/>
            <w:vAlign w:val="center"/>
            <w:tcMar>
              <w:top w:w="60" w:type="dxa"/>
              <w:bottom w:w="60" w:type="dxa"/>
              <w:start w:w="120" w:type="dxa"/>
              <w:end w:w="120" w:type="dxa"/>
            </w:tcMar>
          </w:tcPr>
          <w:p>
            <w:pPr>
              <w:pStyle w:val="TableText"/>
            </w:pPr>
            <w:r>
              <w:t>Projection-point detector system ID.</w:t>
            </w:r>
          </w:p>
        </w:tc>
      </w:tr>
      <w:tr>
        <w:trPr>
          <w:cantSplit/>
        </w:trPr>
        <w:tc>
          <w:tcPr>
            <w:tcW w:type="dxa" w:w="2900"/>
            <w:vAlign w:val="center"/>
            <w:tcMar>
              <w:top w:w="60" w:type="dxa"/>
              <w:bottom w:w="60" w:type="dxa"/>
              <w:start w:w="120" w:type="dxa"/>
              <w:end w:w="120" w:type="dxa"/>
            </w:tcMar>
          </w:tcPr>
          <w:p>
            <w:pPr>
              <w:pStyle w:val="CodeCell"/>
            </w:pPr>
            <w:r>
              <w:t>distance_cut_mm</w:t>
            </w:r>
          </w:p>
        </w:tc>
        <w:tc>
          <w:tcPr>
            <w:tcW w:type="dxa" w:w="2520"/>
            <w:vAlign w:val="center"/>
            <w:tcMar>
              <w:top w:w="60" w:type="dxa"/>
              <w:bottom w:w="60" w:type="dxa"/>
              <w:start w:w="120" w:type="dxa"/>
              <w:end w:w="120" w:type="dxa"/>
            </w:tcMar>
          </w:tcPr>
          <w:p>
            <w:pPr>
              <w:pStyle w:val="TableText"/>
            </w:pPr>
            <w:r>
              <w:t>87.0</w:t>
            </w:r>
          </w:p>
        </w:tc>
        <w:tc>
          <w:tcPr>
            <w:tcW w:type="dxa" w:w="3940"/>
            <w:vAlign w:val="center"/>
            <w:tcMar>
              <w:top w:w="60" w:type="dxa"/>
              <w:bottom w:w="60" w:type="dxa"/>
              <w:start w:w="120" w:type="dxa"/>
              <w:end w:w="120" w:type="dxa"/>
            </w:tcMar>
          </w:tcPr>
          <w:p>
            <w:pPr>
              <w:pStyle w:val="TableText"/>
            </w:pPr>
            <w:r>
              <w:t>Strict maximum 3D matching distance in mm.</w:t>
            </w:r>
          </w:p>
        </w:tc>
      </w:tr>
      <w:tr>
        <w:trPr>
          <w:cantSplit/>
        </w:trPr>
        <w:tc>
          <w:tcPr>
            <w:tcW w:type="dxa" w:w="2900"/>
            <w:vAlign w:val="center"/>
            <w:tcMar>
              <w:top w:w="60" w:type="dxa"/>
              <w:bottom w:w="60" w:type="dxa"/>
              <w:start w:w="120" w:type="dxa"/>
              <w:end w:w="120" w:type="dxa"/>
            </w:tcMar>
          </w:tcPr>
          <w:p>
            <w:pPr>
              <w:pStyle w:val="CodeCell"/>
            </w:pPr>
            <w:r>
              <w:t>eop_min / eop_max</w:t>
            </w:r>
          </w:p>
        </w:tc>
        <w:tc>
          <w:tcPr>
            <w:tcW w:type="dxa" w:w="2520"/>
            <w:vAlign w:val="center"/>
            <w:tcMar>
              <w:top w:w="60" w:type="dxa"/>
              <w:bottom w:w="60" w:type="dxa"/>
              <w:start w:w="120" w:type="dxa"/>
              <w:end w:w="120" w:type="dxa"/>
            </w:tcMar>
          </w:tcPr>
          <w:p>
            <w:pPr>
              <w:pStyle w:val="TableText"/>
            </w:pPr>
            <w:r>
              <w:t>0.7 / 1.3</w:t>
            </w:r>
          </w:p>
        </w:tc>
        <w:tc>
          <w:tcPr>
            <w:tcW w:type="dxa" w:w="3940"/>
            <w:vAlign w:val="center"/>
            <w:tcMar>
              <w:top w:w="60" w:type="dxa"/>
              <w:bottom w:w="60" w:type="dxa"/>
              <w:start w:w="120" w:type="dxa"/>
              <w:end w:w="120" w:type="dxa"/>
            </w:tcMar>
          </w:tcPr>
          <w:p>
            <w:pPr>
              <w:pStyle w:val="TableText"/>
            </w:pPr>
            <w:r>
              <w:t>Strict lower and upper E/p limits.</w:t>
            </w:r>
          </w:p>
        </w:tc>
      </w:tr>
      <w:tr>
        <w:trPr>
          <w:cantSplit/>
        </w:trPr>
        <w:tc>
          <w:tcPr>
            <w:tcW w:type="dxa" w:w="2900"/>
            <w:vAlign w:val="center"/>
            <w:tcMar>
              <w:top w:w="60" w:type="dxa"/>
              <w:bottom w:w="60" w:type="dxa"/>
              <w:start w:w="120" w:type="dxa"/>
              <w:end w:w="120" w:type="dxa"/>
            </w:tcMar>
          </w:tcPr>
          <w:p>
            <w:pPr>
              <w:pStyle w:val="CodeCell"/>
            </w:pPr>
            <w:r>
              <w:t>cut_scan_bins</w:t>
            </w:r>
          </w:p>
        </w:tc>
        <w:tc>
          <w:tcPr>
            <w:tcW w:type="dxa" w:w="2520"/>
            <w:vAlign w:val="center"/>
            <w:tcMar>
              <w:top w:w="60" w:type="dxa"/>
              <w:bottom w:w="60" w:type="dxa"/>
              <w:start w:w="120" w:type="dxa"/>
              <w:end w:w="120" w:type="dxa"/>
            </w:tcMar>
          </w:tcPr>
          <w:p>
            <w:pPr>
              <w:pStyle w:val="TableText"/>
            </w:pPr>
            <w:r>
              <w:t>100</w:t>
            </w:r>
          </w:p>
        </w:tc>
        <w:tc>
          <w:tcPr>
            <w:tcW w:type="dxa" w:w="3940"/>
            <w:vAlign w:val="center"/>
            <w:tcMar>
              <w:top w:w="60" w:type="dxa"/>
              <w:bottom w:w="60" w:type="dxa"/>
              <w:start w:w="120" w:type="dxa"/>
              <w:end w:w="120" w:type="dxa"/>
            </w:tcMar>
          </w:tcPr>
          <w:p>
            <w:pPr>
              <w:pStyle w:val="TableText"/>
            </w:pPr>
            <w:r>
              <w:t>Number of distance-cut scan bins.</w:t>
            </w:r>
          </w:p>
        </w:tc>
      </w:tr>
      <w:tr>
        <w:trPr>
          <w:cantSplit/>
        </w:trPr>
        <w:tc>
          <w:tcPr>
            <w:tcW w:type="dxa" w:w="2900"/>
            <w:vAlign w:val="center"/>
            <w:tcMar>
              <w:top w:w="60" w:type="dxa"/>
              <w:bottom w:w="60" w:type="dxa"/>
              <w:start w:w="120" w:type="dxa"/>
              <w:end w:w="120" w:type="dxa"/>
            </w:tcMar>
          </w:tcPr>
          <w:p>
            <w:pPr>
              <w:pStyle w:val="CodeCell"/>
            </w:pPr>
            <w:r>
              <w:t>cut_scan_max_mm</w:t>
            </w:r>
          </w:p>
        </w:tc>
        <w:tc>
          <w:tcPr>
            <w:tcW w:type="dxa" w:w="2520"/>
            <w:vAlign w:val="center"/>
            <w:tcMar>
              <w:top w:w="60" w:type="dxa"/>
              <w:bottom w:w="60" w:type="dxa"/>
              <w:start w:w="120" w:type="dxa"/>
              <w:end w:w="120" w:type="dxa"/>
            </w:tcMar>
          </w:tcPr>
          <w:p>
            <w:pPr>
              <w:pStyle w:val="TableText"/>
            </w:pPr>
            <w:r>
              <w:t>200.0</w:t>
            </w:r>
          </w:p>
        </w:tc>
        <w:tc>
          <w:tcPr>
            <w:tcW w:type="dxa" w:w="3940"/>
            <w:vAlign w:val="center"/>
            <w:tcMar>
              <w:top w:w="60" w:type="dxa"/>
              <w:bottom w:w="60" w:type="dxa"/>
              <w:start w:w="120" w:type="dxa"/>
              <w:end w:w="120" w:type="dxa"/>
            </w:tcMar>
          </w:tcPr>
          <w:p>
            <w:pPr>
              <w:pStyle w:val="TableText"/>
            </w:pPr>
            <w:r>
              <w:t>Upper edge of the distance-cut scan.</w:t>
            </w:r>
          </w:p>
        </w:tc>
      </w:tr>
    </w:tbl>
    <w:p>
      <w:pPr>
        <w:pStyle w:val="Heading2"/>
      </w:pPr>
      <w:r>
        <w:t>Input-list files</w:t>
      </w:r>
    </w:p>
    <w:p>
      <w:pPr>
        <w:pStyle w:val="Definition"/>
      </w:pPr>
      <w:r>
        <w:rPr>
          <w:b/>
        </w:rPr>
        <w:t xml:space="preserve">inputs/local_example.txt </w:t>
      </w:r>
      <w:r>
        <w:t>One relative path to the local ROOT sample beside run_analysis.py. The example commands use this list.</w:t>
      </w:r>
    </w:p>
    <w:p>
      <w:pPr>
        <w:pStyle w:val="Definition"/>
      </w:pPr>
      <w:r>
        <w:rPr>
          <w:b/>
        </w:rPr>
        <w:t xml:space="preserve">inputs/dis_18x275_q2_100_26_02.txt </w:t>
      </w:r>
      <w:r>
        <w:t>One remote NC DIS ROOT URL copied from the archive. The URL points to RECO/26.03.0, despite the list filename.</w:t>
      </w:r>
    </w:p>
    <w:p>
      <w:pPr>
        <w:pStyle w:val="Definition"/>
      </w:pPr>
      <w:r>
        <w:rPr>
          <w:b/>
        </w:rPr>
        <w:t xml:space="preserve">list_18x275_Q2_100_latest.txt </w:t>
      </w:r>
      <w:r>
        <w:t>A top-level list of 50 remote NC DIS files with an 18x275 setup and minQ2=100. Its current URLs point to RECO/25.08.0.</w:t>
      </w:r>
    </w:p>
    <w:p>
      <w:pPr>
        <w:pStyle w:val="Definition"/>
      </w:pPr>
      <w:r>
        <w:rPr>
          <w:b/>
        </w:rPr>
        <w:t xml:space="preserve">list_SIDIS_18x275_q2_0to1.txt </w:t>
      </w:r>
      <w:r>
        <w:t>A top-level list of 50 remote SIDIS files in the low-Q2 sample. The separate E-pz script reads this list directly.</w:t>
      </w:r>
    </w:p>
    <w:p>
      <w:pPr>
        <w:pStyle w:val="Note"/>
      </w:pPr>
      <w:r>
        <w:t>.txt lists contain paths; .root inputs contain event data. The runners ignore blank lines and full-line # comments in lists.</w:t>
      </w:r>
    </w:p>
    <w:p>
      <w:pPr/>
      <w:r>
        <w:t>For --input, a relative path is resolved from your working directory. Inside a text list, a relative path is resolved from the list file's directory. Remote root:// URLs are passed to ROOT. Duplicate inputs are rejected.</w:t>
      </w:r>
    </w:p>
    <w:p>
      <w:pPr>
        <w:pStyle w:val="Heading1"/>
        <w:pageBreakBefore/>
      </w:pPr>
      <w:r>
        <w:t>results/: understand a matching run</w:t>
      </w:r>
    </w:p>
    <w:p>
      <w:pPr/>
      <w:r>
        <w:t>Each execution gets a directory under results/ (or the path given by --output), containing its settings, records and plots.</w:t>
      </w:r>
    </w:p>
    <w:tbl>
      <w:tblPr>
        <w:tblW w:type="dxa" w:w="9360"/>
        <w:jc w:val="left"/>
        <w:tblLayout w:type="fixed"/>
        <w:tblLook w:firstColumn="1" w:firstRow="1" w:lastColumn="0" w:lastRow="0" w:noHBand="0" w:noVBand="1" w:val="04A0"/>
        <w:tblInd w:type="dxa" w:w="120"/>
        <w:tblBorders>
          <w:top w:val="single" w:sz="4" w:color="D6DEE6"/>
          <w:left w:val="single" w:sz="4" w:color="D6DEE6"/>
          <w:bottom w:val="single" w:sz="4" w:color="D6DEE6"/>
          <w:right w:val="single" w:sz="4" w:color="D6DEE6"/>
          <w:insideH w:val="single" w:sz="4" w:color="D6DEE6"/>
          <w:insideV w:val="single" w:sz="4" w:color="D6DEE6"/>
        </w:tblBorders>
      </w:tblPr>
      <w:tblGrid>
        <w:gridCol w:w="2570"/>
        <w:gridCol w:w="6790"/>
      </w:tblGrid>
      <w:tr>
        <w:trPr>
          <w:tblHeader/>
          <w:cantSplit/>
        </w:trPr>
        <w:tc>
          <w:tcPr>
            <w:tcW w:type="dxa" w:w="2570"/>
            <w:shd w:fill="E8EEF5"/>
            <w:vAlign w:val="center"/>
            <w:tcMar>
              <w:top w:w="60" w:type="dxa"/>
              <w:bottom w:w="60" w:type="dxa"/>
              <w:start w:w="120" w:type="dxa"/>
              <w:end w:w="120" w:type="dxa"/>
            </w:tcMar>
          </w:tcPr>
          <w:p>
            <w:pPr>
              <w:pStyle w:val="TableHead"/>
            </w:pPr>
            <w:r>
              <w:t>File</w:t>
            </w:r>
          </w:p>
        </w:tc>
        <w:tc>
          <w:tcPr>
            <w:tcW w:type="dxa" w:w="6790"/>
            <w:shd w:fill="E8EEF5"/>
            <w:vAlign w:val="center"/>
            <w:tcMar>
              <w:top w:w="60" w:type="dxa"/>
              <w:bottom w:w="60" w:type="dxa"/>
              <w:start w:w="120" w:type="dxa"/>
              <w:end w:w="120" w:type="dxa"/>
            </w:tcMar>
          </w:tcPr>
          <w:p>
            <w:pPr>
              <w:pStyle w:val="TableHead"/>
            </w:pPr>
            <w:r>
              <w:t>What it contains</w:t>
            </w:r>
          </w:p>
        </w:tc>
      </w:tr>
      <w:tr>
        <w:trPr>
          <w:cantSplit/>
        </w:trPr>
        <w:tc>
          <w:tcPr>
            <w:tcW w:type="dxa" w:w="2570"/>
            <w:vAlign w:val="center"/>
            <w:tcMar>
              <w:top w:w="60" w:type="dxa"/>
              <w:bottom w:w="60" w:type="dxa"/>
              <w:start w:w="120" w:type="dxa"/>
              <w:end w:w="120" w:type="dxa"/>
            </w:tcMar>
          </w:tcPr>
          <w:p>
            <w:pPr>
              <w:pStyle w:val="CodeCell"/>
            </w:pPr>
            <w:r>
              <w:t>run.json</w:t>
            </w:r>
          </w:p>
        </w:tc>
        <w:tc>
          <w:tcPr>
            <w:tcW w:type="dxa" w:w="6790"/>
            <w:vAlign w:val="center"/>
            <w:tcMar>
              <w:top w:w="60" w:type="dxa"/>
              <w:bottom w:w="60" w:type="dxa"/>
              <w:start w:w="120" w:type="dxa"/>
              <w:end w:w="120" w:type="dxa"/>
            </w:tcMar>
          </w:tcPr>
          <w:p>
            <w:pPr>
              <w:pStyle w:val="TableText"/>
            </w:pPr>
            <w:r>
              <w:t>Command, inputs, versions, code hashes, timestamps and completion status.</w:t>
            </w:r>
          </w:p>
        </w:tc>
      </w:tr>
      <w:tr>
        <w:trPr>
          <w:cantSplit/>
        </w:trPr>
        <w:tc>
          <w:tcPr>
            <w:tcW w:type="dxa" w:w="2570"/>
            <w:vAlign w:val="center"/>
            <w:tcMar>
              <w:top w:w="60" w:type="dxa"/>
              <w:bottom w:w="60" w:type="dxa"/>
              <w:start w:w="120" w:type="dxa"/>
              <w:end w:w="120" w:type="dxa"/>
            </w:tcMar>
          </w:tcPr>
          <w:p>
            <w:pPr>
              <w:pStyle w:val="CodeCell"/>
            </w:pPr>
            <w:r>
              <w:t>config.json</w:t>
            </w:r>
          </w:p>
        </w:tc>
        <w:tc>
          <w:tcPr>
            <w:tcW w:type="dxa" w:w="6790"/>
            <w:vAlign w:val="center"/>
            <w:tcMar>
              <w:top w:w="60" w:type="dxa"/>
              <w:bottom w:w="60" w:type="dxa"/>
              <w:start w:w="120" w:type="dxa"/>
              <w:end w:w="120" w:type="dxa"/>
            </w:tcMar>
          </w:tcPr>
          <w:p>
            <w:pPr>
              <w:pStyle w:val="TableText"/>
            </w:pPr>
            <w:r>
              <w:t>The effective settings used, including command-line overrides.</w:t>
            </w:r>
          </w:p>
        </w:tc>
      </w:tr>
      <w:tr>
        <w:trPr>
          <w:cantSplit/>
        </w:trPr>
        <w:tc>
          <w:tcPr>
            <w:tcW w:type="dxa" w:w="2570"/>
            <w:vAlign w:val="center"/>
            <w:tcMar>
              <w:top w:w="60" w:type="dxa"/>
              <w:bottom w:w="60" w:type="dxa"/>
              <w:start w:w="120" w:type="dxa"/>
              <w:end w:w="120" w:type="dxa"/>
            </w:tcMar>
          </w:tcPr>
          <w:p>
            <w:pPr>
              <w:pStyle w:val="CodeCell"/>
            </w:pPr>
            <w:r>
              <w:t>inputs.txt</w:t>
            </w:r>
          </w:p>
        </w:tc>
        <w:tc>
          <w:tcPr>
            <w:tcW w:type="dxa" w:w="6790"/>
            <w:vAlign w:val="center"/>
            <w:tcMar>
              <w:top w:w="60" w:type="dxa"/>
              <w:bottom w:w="60" w:type="dxa"/>
              <w:start w:w="120" w:type="dxa"/>
              <w:end w:w="120" w:type="dxa"/>
            </w:tcMar>
          </w:tcPr>
          <w:p>
            <w:pPr>
              <w:pStyle w:val="TableText"/>
            </w:pPr>
            <w:r>
              <w:t>Resolved input files in processing order.</w:t>
            </w:r>
          </w:p>
        </w:tc>
      </w:tr>
      <w:tr>
        <w:trPr>
          <w:cantSplit/>
        </w:trPr>
        <w:tc>
          <w:tcPr>
            <w:tcW w:type="dxa" w:w="2570"/>
            <w:vAlign w:val="center"/>
            <w:tcMar>
              <w:top w:w="60" w:type="dxa"/>
              <w:bottom w:w="60" w:type="dxa"/>
              <w:start w:w="120" w:type="dxa"/>
              <w:end w:w="120" w:type="dxa"/>
            </w:tcMar>
          </w:tcPr>
          <w:p>
            <w:pPr>
              <w:pStyle w:val="CodeCell"/>
            </w:pPr>
            <w:r>
              <w:t>summary.json</w:t>
            </w:r>
          </w:p>
        </w:tc>
        <w:tc>
          <w:tcPr>
            <w:tcW w:type="dxa" w:w="6790"/>
            <w:vAlign w:val="center"/>
            <w:tcMar>
              <w:top w:w="60" w:type="dxa"/>
              <w:bottom w:w="60" w:type="dxa"/>
              <w:start w:w="120" w:type="dxa"/>
              <w:end w:w="120" w:type="dxa"/>
            </w:tcMar>
          </w:tcPr>
          <w:p>
            <w:pPr>
              <w:pStyle w:val="TableText"/>
            </w:pPr>
            <w:r>
              <w:t>Counts, fractions and other results for that command.</w:t>
            </w:r>
          </w:p>
        </w:tc>
      </w:tr>
      <w:tr>
        <w:trPr>
          <w:cantSplit/>
        </w:trPr>
        <w:tc>
          <w:tcPr>
            <w:tcW w:type="dxa" w:w="2570"/>
            <w:vAlign w:val="center"/>
            <w:tcMar>
              <w:top w:w="60" w:type="dxa"/>
              <w:bottom w:w="60" w:type="dxa"/>
              <w:start w:w="120" w:type="dxa"/>
              <w:end w:w="120" w:type="dxa"/>
            </w:tcMar>
          </w:tcPr>
          <w:p>
            <w:pPr>
              <w:pStyle w:val="CodeCell"/>
            </w:pPr>
            <w:r>
              <w:t>summary.txt</w:t>
            </w:r>
          </w:p>
        </w:tc>
        <w:tc>
          <w:tcPr>
            <w:tcW w:type="dxa" w:w="6790"/>
            <w:vAlign w:val="center"/>
            <w:tcMar>
              <w:top w:w="60" w:type="dxa"/>
              <w:bottom w:w="60" w:type="dxa"/>
              <w:start w:w="120" w:type="dxa"/>
              <w:end w:w="120" w:type="dxa"/>
            </w:tcMar>
          </w:tcPr>
          <w:p>
            <w:pPr>
              <w:pStyle w:val="TableText"/>
            </w:pPr>
            <w:r>
              <w:t>analyze: the detailed terminal report.</w:t>
            </w:r>
          </w:p>
        </w:tc>
      </w:tr>
      <w:tr>
        <w:trPr>
          <w:cantSplit/>
        </w:trPr>
        <w:tc>
          <w:tcPr>
            <w:tcW w:type="dxa" w:w="2570"/>
            <w:vAlign w:val="center"/>
            <w:tcMar>
              <w:top w:w="60" w:type="dxa"/>
              <w:bottom w:w="60" w:type="dxa"/>
              <w:start w:w="120" w:type="dxa"/>
              <w:end w:w="120" w:type="dxa"/>
            </w:tcMar>
          </w:tcPr>
          <w:p>
            <w:pPr>
              <w:pStyle w:val="CodeCell"/>
            </w:pPr>
            <w:r>
              <w:t>analysis.root</w:t>
            </w:r>
          </w:p>
        </w:tc>
        <w:tc>
          <w:tcPr>
            <w:tcW w:type="dxa" w:w="6790"/>
            <w:vAlign w:val="center"/>
            <w:tcMar>
              <w:top w:w="60" w:type="dxa"/>
              <w:bottom w:w="60" w:type="dxa"/>
              <w:start w:w="120" w:type="dxa"/>
              <w:end w:w="120" w:type="dxa"/>
            </w:tcMar>
          </w:tcPr>
          <w:p>
            <w:pPr>
              <w:pStyle w:val="TableText"/>
            </w:pPr>
            <w:r>
              <w:t>analyze: histograms and requested canvases.</w:t>
            </w:r>
          </w:p>
        </w:tc>
      </w:tr>
      <w:tr>
        <w:trPr>
          <w:cantSplit/>
        </w:trPr>
        <w:tc>
          <w:tcPr>
            <w:tcW w:type="dxa" w:w="2570"/>
            <w:vAlign w:val="center"/>
            <w:tcMar>
              <w:top w:w="60" w:type="dxa"/>
              <w:bottom w:w="60" w:type="dxa"/>
              <w:start w:w="120" w:type="dxa"/>
              <w:end w:w="120" w:type="dxa"/>
            </w:tcMar>
          </w:tcPr>
          <w:p>
            <w:pPr>
              <w:pStyle w:val="CodeCell"/>
            </w:pPr>
            <w:r>
              <w:t>events.jsonl</w:t>
            </w:r>
          </w:p>
        </w:tc>
        <w:tc>
          <w:tcPr>
            <w:tcW w:type="dxa" w:w="6790"/>
            <w:vAlign w:val="center"/>
            <w:tcMar>
              <w:top w:w="60" w:type="dxa"/>
              <w:bottom w:w="60" w:type="dxa"/>
              <w:start w:w="120" w:type="dxa"/>
              <w:end w:w="120" w:type="dxa"/>
            </w:tcMar>
          </w:tcPr>
          <w:p>
            <w:pPr>
              <w:pStyle w:val="TableText"/>
            </w:pPr>
            <w:r>
              <w:t>analyze/parents: one record per processed event.</w:t>
            </w:r>
          </w:p>
        </w:tc>
      </w:tr>
      <w:tr>
        <w:trPr>
          <w:cantSplit/>
        </w:trPr>
        <w:tc>
          <w:tcPr>
            <w:tcW w:type="dxa" w:w="2570"/>
            <w:vAlign w:val="center"/>
            <w:tcMar>
              <w:top w:w="60" w:type="dxa"/>
              <w:bottom w:w="60" w:type="dxa"/>
              <w:start w:w="120" w:type="dxa"/>
              <w:end w:w="120" w:type="dxa"/>
            </w:tcMar>
          </w:tcPr>
          <w:p>
            <w:pPr>
              <w:pStyle w:val="CodeCell"/>
            </w:pPr>
            <w:r>
              <w:t>failures.jsonl</w:t>
            </w:r>
          </w:p>
        </w:tc>
        <w:tc>
          <w:tcPr>
            <w:tcW w:type="dxa" w:w="6790"/>
            <w:vAlign w:val="center"/>
            <w:tcMar>
              <w:top w:w="60" w:type="dxa"/>
              <w:bottom w:w="60" w:type="dxa"/>
              <w:start w:w="120" w:type="dxa"/>
              <w:end w:w="120" w:type="dxa"/>
            </w:tcMar>
          </w:tcPr>
          <w:p>
            <w:pPr>
              <w:pStyle w:val="TableText"/>
            </w:pPr>
            <w:r>
              <w:t>analyze/parents: records with a failure reason.</w:t>
            </w:r>
          </w:p>
        </w:tc>
      </w:tr>
    </w:tbl>
    <w:p>
      <w:pPr>
        <w:pStyle w:val="Heading2"/>
      </w:pPr>
      <w:r>
        <w:t>The eight analysis figures in plots/</w:t>
      </w:r>
    </w:p>
    <w:tbl>
      <w:tblPr>
        <w:tblW w:type="dxa" w:w="9360"/>
        <w:jc w:val="left"/>
        <w:tblLayout w:type="fixed"/>
        <w:tblLook w:firstColumn="1" w:firstRow="1" w:lastColumn="0" w:lastRow="0" w:noHBand="0" w:noVBand="1" w:val="04A0"/>
        <w:tblInd w:type="dxa" w:w="120"/>
        <w:tblBorders>
          <w:top w:val="single" w:sz="4" w:color="D6DEE6"/>
          <w:left w:val="single" w:sz="4" w:color="D6DEE6"/>
          <w:bottom w:val="single" w:sz="4" w:color="D6DEE6"/>
          <w:right w:val="single" w:sz="4" w:color="D6DEE6"/>
          <w:insideH w:val="single" w:sz="4" w:color="D6DEE6"/>
          <w:insideV w:val="single" w:sz="4" w:color="D6DEE6"/>
        </w:tblBorders>
      </w:tblPr>
      <w:tblGrid>
        <w:gridCol w:w="3600"/>
        <w:gridCol w:w="5760"/>
      </w:tblGrid>
      <w:tr>
        <w:trPr>
          <w:tblHeader/>
          <w:cantSplit/>
        </w:trPr>
        <w:tc>
          <w:tcPr>
            <w:tcW w:type="dxa" w:w="3600"/>
            <w:shd w:fill="E8EEF5"/>
            <w:vAlign w:val="center"/>
            <w:tcMar>
              <w:top w:w="60" w:type="dxa"/>
              <w:bottom w:w="60" w:type="dxa"/>
              <w:start w:w="120" w:type="dxa"/>
              <w:end w:w="120" w:type="dxa"/>
            </w:tcMar>
          </w:tcPr>
          <w:p>
            <w:pPr>
              <w:pStyle w:val="TableHead"/>
            </w:pPr>
            <w:r>
              <w:t>PNG filename</w:t>
            </w:r>
          </w:p>
        </w:tc>
        <w:tc>
          <w:tcPr>
            <w:tcW w:type="dxa" w:w="5760"/>
            <w:shd w:fill="E8EEF5"/>
            <w:vAlign w:val="center"/>
            <w:tcMar>
              <w:top w:w="60" w:type="dxa"/>
              <w:bottom w:w="60" w:type="dxa"/>
              <w:start w:w="120" w:type="dxa"/>
              <w:end w:w="120" w:type="dxa"/>
            </w:tcMar>
          </w:tcPr>
          <w:p>
            <w:pPr>
              <w:pStyle w:val="TableHead"/>
            </w:pPr>
            <w:r>
              <w:t>Subject</w:t>
            </w:r>
          </w:p>
        </w:tc>
      </w:tr>
      <w:tr>
        <w:trPr>
          <w:cantSplit/>
        </w:trPr>
        <w:tc>
          <w:tcPr>
            <w:tcW w:type="dxa" w:w="3600"/>
            <w:vAlign w:val="center"/>
            <w:tcMar>
              <w:top w:w="60" w:type="dxa"/>
              <w:bottom w:w="60" w:type="dxa"/>
              <w:start w:w="120" w:type="dxa"/>
              <w:end w:w="120" w:type="dxa"/>
            </w:tcMar>
          </w:tcPr>
          <w:p>
            <w:pPr>
              <w:pStyle w:val="CodeCell"/>
            </w:pPr>
            <w:r>
              <w:t>distance_no_eop.png</w:t>
            </w:r>
          </w:p>
        </w:tc>
        <w:tc>
          <w:tcPr>
            <w:tcW w:type="dxa" w:w="5760"/>
            <w:vAlign w:val="center"/>
            <w:tcMar>
              <w:top w:w="60" w:type="dxa"/>
              <w:bottom w:w="60" w:type="dxa"/>
              <w:start w:w="120" w:type="dxa"/>
              <w:end w:w="120" w:type="dxa"/>
            </w:tcMar>
          </w:tcPr>
          <w:p>
            <w:pPr>
              <w:pStyle w:val="TableText"/>
            </w:pPr>
            <w:r>
              <w:t>Nearest 3D cluster distance without E/p filtering.</w:t>
            </w:r>
          </w:p>
        </w:tc>
      </w:tr>
      <w:tr>
        <w:trPr>
          <w:cantSplit/>
        </w:trPr>
        <w:tc>
          <w:tcPr>
            <w:tcW w:type="dxa" w:w="3600"/>
            <w:vAlign w:val="center"/>
            <w:tcMar>
              <w:top w:w="60" w:type="dxa"/>
              <w:bottom w:w="60" w:type="dxa"/>
              <w:start w:w="120" w:type="dxa"/>
              <w:end w:w="120" w:type="dxa"/>
            </w:tcMar>
          </w:tcPr>
          <w:p>
            <w:pPr>
              <w:pStyle w:val="CodeCell"/>
            </w:pPr>
            <w:r>
              <w:t>distance_with_eop.png</w:t>
            </w:r>
          </w:p>
        </w:tc>
        <w:tc>
          <w:tcPr>
            <w:tcW w:type="dxa" w:w="5760"/>
            <w:vAlign w:val="center"/>
            <w:tcMar>
              <w:top w:w="60" w:type="dxa"/>
              <w:bottom w:w="60" w:type="dxa"/>
              <w:start w:w="120" w:type="dxa"/>
              <w:end w:w="120" w:type="dxa"/>
            </w:tcMar>
          </w:tcPr>
          <w:p>
            <w:pPr>
              <w:pStyle w:val="TableText"/>
            </w:pPr>
            <w:r>
              <w:t>Nearest 3D distance after the E/p window.</w:t>
            </w:r>
          </w:p>
        </w:tc>
      </w:tr>
      <w:tr>
        <w:trPr>
          <w:cantSplit/>
        </w:trPr>
        <w:tc>
          <w:tcPr>
            <w:tcW w:type="dxa" w:w="3600"/>
            <w:vAlign w:val="center"/>
            <w:tcMar>
              <w:top w:w="60" w:type="dxa"/>
              <w:bottom w:w="60" w:type="dxa"/>
              <w:start w:w="120" w:type="dxa"/>
              <w:end w:w="120" w:type="dxa"/>
            </w:tcMar>
          </w:tcPr>
          <w:p>
            <w:pPr>
              <w:pStyle w:val="CodeCell"/>
            </w:pPr>
            <w:r>
              <w:t>fraction_vs_distance.png</w:t>
            </w:r>
          </w:p>
        </w:tc>
        <w:tc>
          <w:tcPr>
            <w:tcW w:type="dxa" w:w="5760"/>
            <w:vAlign w:val="center"/>
            <w:tcMar>
              <w:top w:w="60" w:type="dxa"/>
              <w:bottom w:w="60" w:type="dxa"/>
              <w:start w:w="120" w:type="dxa"/>
              <w:end w:w="120" w:type="dxa"/>
            </w:tcMar>
          </w:tcPr>
          <w:p>
            <w:pPr>
              <w:pStyle w:val="TableText"/>
            </w:pPr>
            <w:r>
              <w:t>Fraction versus distance cut, with/without E/p.</w:t>
            </w:r>
          </w:p>
        </w:tc>
      </w:tr>
      <w:tr>
        <w:trPr>
          <w:cantSplit/>
        </w:trPr>
        <w:tc>
          <w:tcPr>
            <w:tcW w:type="dxa" w:w="3600"/>
            <w:vAlign w:val="center"/>
            <w:tcMar>
              <w:top w:w="60" w:type="dxa"/>
              <w:bottom w:w="60" w:type="dxa"/>
              <w:start w:w="120" w:type="dxa"/>
              <w:end w:w="120" w:type="dxa"/>
            </w:tcMar>
          </w:tcPr>
          <w:p>
            <w:pPr>
              <w:pStyle w:val="CodeCell"/>
            </w:pPr>
            <w:r>
              <w:t>failed_energies.png</w:t>
            </w:r>
          </w:p>
        </w:tc>
        <w:tc>
          <w:tcPr>
            <w:tcW w:type="dxa" w:w="5760"/>
            <w:vAlign w:val="center"/>
            <w:tcMar>
              <w:top w:w="60" w:type="dxa"/>
              <w:bottom w:w="60" w:type="dxa"/>
              <w:start w:w="120" w:type="dxa"/>
              <w:end w:w="120" w:type="dxa"/>
            </w:tcMar>
          </w:tcPr>
          <w:p>
            <w:pPr>
              <w:pStyle w:val="TableText"/>
            </w:pPr>
            <w:r>
              <w:t>MC/reconstructed energies for failed matches.</w:t>
            </w:r>
          </w:p>
        </w:tc>
      </w:tr>
      <w:tr>
        <w:trPr>
          <w:cantSplit/>
        </w:trPr>
        <w:tc>
          <w:tcPr>
            <w:tcW w:type="dxa" w:w="3600"/>
            <w:vAlign w:val="center"/>
            <w:tcMar>
              <w:top w:w="60" w:type="dxa"/>
              <w:bottom w:w="60" w:type="dxa"/>
              <w:start w:w="120" w:type="dxa"/>
              <w:end w:w="120" w:type="dxa"/>
            </w:tcMar>
          </w:tcPr>
          <w:p>
            <w:pPr>
              <w:pStyle w:val="CodeCell"/>
            </w:pPr>
            <w:r>
              <w:t>parent_status.png</w:t>
            </w:r>
          </w:p>
        </w:tc>
        <w:tc>
          <w:tcPr>
            <w:tcW w:type="dxa" w:w="5760"/>
            <w:vAlign w:val="center"/>
            <w:tcMar>
              <w:top w:w="60" w:type="dxa"/>
              <w:bottom w:w="60" w:type="dxa"/>
              <w:start w:w="120" w:type="dxa"/>
              <w:end w:w="120" w:type="dxa"/>
            </w:tcMar>
          </w:tcPr>
          <w:p>
            <w:pPr>
              <w:pStyle w:val="TableText"/>
            </w:pPr>
            <w:r>
              <w:t>Parent statuses before/after electron selection.</w:t>
            </w:r>
          </w:p>
        </w:tc>
      </w:tr>
      <w:tr>
        <w:trPr>
          <w:cantSplit/>
        </w:trPr>
        <w:tc>
          <w:tcPr>
            <w:tcW w:type="dxa" w:w="3600"/>
            <w:vAlign w:val="center"/>
            <w:tcMar>
              <w:top w:w="60" w:type="dxa"/>
              <w:bottom w:w="60" w:type="dxa"/>
              <w:start w:w="120" w:type="dxa"/>
              <w:end w:w="120" w:type="dxa"/>
            </w:tcMar>
          </w:tcPr>
          <w:p>
            <w:pPr>
              <w:pStyle w:val="CodeCell"/>
            </w:pPr>
            <w:r>
              <w:t>parent_pdg.png</w:t>
            </w:r>
          </w:p>
        </w:tc>
        <w:tc>
          <w:tcPr>
            <w:tcW w:type="dxa" w:w="5760"/>
            <w:vAlign w:val="center"/>
            <w:tcMar>
              <w:top w:w="60" w:type="dxa"/>
              <w:bottom w:w="60" w:type="dxa"/>
              <w:start w:w="120" w:type="dxa"/>
              <w:end w:w="120" w:type="dxa"/>
            </w:tcMar>
          </w:tcPr>
          <w:p>
            <w:pPr>
              <w:pStyle w:val="TableText"/>
            </w:pPr>
            <w:r>
              <w:t>Parent PDG codes for status-1 electrons.</w:t>
            </w:r>
          </w:p>
        </w:tc>
      </w:tr>
      <w:tr>
        <w:trPr>
          <w:cantSplit/>
        </w:trPr>
        <w:tc>
          <w:tcPr>
            <w:tcW w:type="dxa" w:w="3600"/>
            <w:vAlign w:val="center"/>
            <w:tcMar>
              <w:top w:w="60" w:type="dxa"/>
              <w:bottom w:w="60" w:type="dxa"/>
              <w:start w:w="120" w:type="dxa"/>
              <w:end w:w="120" w:type="dxa"/>
            </w:tcMar>
          </w:tcPr>
          <w:p>
            <w:pPr>
              <w:pStyle w:val="CodeCell"/>
            </w:pPr>
            <w:r>
              <w:t>e_over_p.png</w:t>
            </w:r>
          </w:p>
        </w:tc>
        <w:tc>
          <w:tcPr>
            <w:tcW w:type="dxa" w:w="5760"/>
            <w:vAlign w:val="center"/>
            <w:tcMar>
              <w:top w:w="60" w:type="dxa"/>
              <w:bottom w:w="60" w:type="dxa"/>
              <w:start w:w="120" w:type="dxa"/>
              <w:end w:w="120" w:type="dxa"/>
            </w:tcMar>
          </w:tcPr>
          <w:p>
            <w:pPr>
              <w:pStyle w:val="TableText"/>
            </w:pPr>
            <w:r>
              <w:t>E/p for considered and selected clusters.</w:t>
            </w:r>
          </w:p>
        </w:tc>
      </w:tr>
      <w:tr>
        <w:trPr>
          <w:cantSplit/>
        </w:trPr>
        <w:tc>
          <w:tcPr>
            <w:tcW w:type="dxa" w:w="3600"/>
            <w:vAlign w:val="center"/>
            <w:tcMar>
              <w:top w:w="60" w:type="dxa"/>
              <w:bottom w:w="60" w:type="dxa"/>
              <w:start w:w="120" w:type="dxa"/>
              <w:end w:w="120" w:type="dxa"/>
            </w:tcMar>
          </w:tcPr>
          <w:p>
            <w:pPr>
              <w:pStyle w:val="CodeCell"/>
            </w:pPr>
            <w:r>
              <w:t>position_differences.png</w:t>
            </w:r>
          </w:p>
        </w:tc>
        <w:tc>
          <w:tcPr>
            <w:tcW w:type="dxa" w:w="5760"/>
            <w:vAlign w:val="center"/>
            <w:tcMar>
              <w:top w:w="60" w:type="dxa"/>
              <w:bottom w:w="60" w:type="dxa"/>
              <w:start w:w="120" w:type="dxa"/>
              <w:end w:w="120" w:type="dxa"/>
            </w:tcMar>
          </w:tcPr>
          <w:p>
            <w:pPr>
              <w:pStyle w:val="TableText"/>
            </w:pPr>
            <w:r>
              <w:t>Cluster/projection differences in r, theta and eta.</w:t>
            </w:r>
          </w:p>
        </w:tc>
      </w:tr>
    </w:tbl>
    <w:p>
      <w:pPr>
        <w:pStyle w:val="Note"/>
        <w:spacing w:before="120"/>
      </w:pPr>
      <w:r>
        <w:t>--no-plots skips figure generation, while retaining the analysis histograms and event records. A later plot command can draw figures from the saved run.</w:t>
      </w:r>
    </w:p>
    <w:p>
      <w:pPr>
        <w:pStyle w:val="Heading1"/>
        <w:pageBreakBefore/>
      </w:pPr>
      <w:r>
        <w:t>results/: event displays and other modes</w:t>
      </w:r>
    </w:p>
    <w:p>
      <w:pPr>
        <w:pStyle w:val="Heading2"/>
      </w:pPr>
      <w:r>
        <w:t>Single-event display</w:t>
      </w:r>
    </w:p>
    <w:p>
      <w:pPr/>
      <w:r>
        <w:t>run_event_display.py and run_analysis.py display produce the same output: ROOT canvases, figures and numerical track/cluster details.</w:t>
      </w:r>
    </w:p>
    <w:tbl>
      <w:tblPr>
        <w:tblW w:type="dxa" w:w="9360"/>
        <w:jc w:val="left"/>
        <w:tblLayout w:type="fixed"/>
        <w:tblLook w:firstColumn="1" w:firstRow="1" w:lastColumn="0" w:lastRow="0" w:noHBand="0" w:noVBand="1" w:val="04A0"/>
        <w:tblInd w:type="dxa" w:w="120"/>
        <w:tblBorders>
          <w:top w:val="single" w:sz="4" w:color="D6DEE6"/>
          <w:left w:val="single" w:sz="4" w:color="D6DEE6"/>
          <w:bottom w:val="single" w:sz="4" w:color="D6DEE6"/>
          <w:right w:val="single" w:sz="4" w:color="D6DEE6"/>
          <w:insideH w:val="single" w:sz="4" w:color="D6DEE6"/>
          <w:insideV w:val="single" w:sz="4" w:color="D6DEE6"/>
        </w:tblBorders>
      </w:tblPr>
      <w:tblGrid>
        <w:gridCol w:w="3650"/>
        <w:gridCol w:w="5710"/>
      </w:tblGrid>
      <w:tr>
        <w:trPr>
          <w:tblHeader/>
          <w:cantSplit/>
        </w:trPr>
        <w:tc>
          <w:tcPr>
            <w:tcW w:type="dxa" w:w="3650"/>
            <w:shd w:fill="E8EEF5"/>
            <w:vAlign w:val="center"/>
            <w:tcMar>
              <w:top w:w="60" w:type="dxa"/>
              <w:bottom w:w="60" w:type="dxa"/>
              <w:start w:w="120" w:type="dxa"/>
              <w:end w:w="120" w:type="dxa"/>
            </w:tcMar>
          </w:tcPr>
          <w:p>
            <w:pPr>
              <w:pStyle w:val="TableHead"/>
            </w:pPr>
            <w:r>
              <w:t>File</w:t>
            </w:r>
          </w:p>
        </w:tc>
        <w:tc>
          <w:tcPr>
            <w:tcW w:type="dxa" w:w="5710"/>
            <w:shd w:fill="E8EEF5"/>
            <w:vAlign w:val="center"/>
            <w:tcMar>
              <w:top w:w="60" w:type="dxa"/>
              <w:bottom w:w="60" w:type="dxa"/>
              <w:start w:w="120" w:type="dxa"/>
              <w:end w:w="120" w:type="dxa"/>
            </w:tcMar>
          </w:tcPr>
          <w:p>
            <w:pPr>
              <w:pStyle w:val="TableHead"/>
            </w:pPr>
            <w:r>
              <w:t>Purpose</w:t>
            </w:r>
          </w:p>
        </w:tc>
      </w:tr>
      <w:tr>
        <w:trPr>
          <w:cantSplit/>
        </w:trPr>
        <w:tc>
          <w:tcPr>
            <w:tcW w:type="dxa" w:w="3650"/>
            <w:vAlign w:val="center"/>
            <w:tcMar>
              <w:top w:w="60" w:type="dxa"/>
              <w:bottom w:w="60" w:type="dxa"/>
              <w:start w:w="120" w:type="dxa"/>
              <w:end w:w="120" w:type="dxa"/>
            </w:tcMar>
          </w:tcPr>
          <w:p>
            <w:pPr>
              <w:pStyle w:val="CodeCell"/>
            </w:pPr>
            <w:r>
              <w:t>event.json</w:t>
            </w:r>
          </w:p>
        </w:tc>
        <w:tc>
          <w:tcPr>
            <w:tcW w:type="dxa" w:w="5710"/>
            <w:vAlign w:val="center"/>
            <w:tcMar>
              <w:top w:w="60" w:type="dxa"/>
              <w:bottom w:w="60" w:type="dxa"/>
              <w:start w:w="120" w:type="dxa"/>
              <w:end w:w="120" w:type="dxa"/>
            </w:tcMar>
          </w:tcPr>
          <w:p>
            <w:pPr>
              <w:pStyle w:val="TableText"/>
            </w:pPr>
            <w:r>
              <w:t>Copied track identities, associations, projection points, cluster positions and collection counts.</w:t>
            </w:r>
          </w:p>
        </w:tc>
      </w:tr>
      <w:tr>
        <w:trPr>
          <w:cantSplit/>
        </w:trPr>
        <w:tc>
          <w:tcPr>
            <w:tcW w:type="dxa" w:w="3650"/>
            <w:vAlign w:val="center"/>
            <w:tcMar>
              <w:top w:w="60" w:type="dxa"/>
              <w:bottom w:w="60" w:type="dxa"/>
              <w:start w:w="120" w:type="dxa"/>
              <w:end w:w="120" w:type="dxa"/>
            </w:tcMar>
          </w:tcPr>
          <w:p>
            <w:pPr>
              <w:pStyle w:val="CodeCell"/>
            </w:pPr>
            <w:r>
              <w:t>event.txt</w:t>
            </w:r>
          </w:p>
        </w:tc>
        <w:tc>
          <w:tcPr>
            <w:tcW w:type="dxa" w:w="5710"/>
            <w:vAlign w:val="center"/>
            <w:tcMar>
              <w:top w:w="60" w:type="dxa"/>
              <w:bottom w:w="60" w:type="dxa"/>
              <w:start w:w="120" w:type="dxa"/>
              <w:end w:w="120" w:type="dxa"/>
            </w:tcMar>
          </w:tcPr>
          <w:p>
            <w:pPr>
              <w:pStyle w:val="TableText"/>
            </w:pPr>
            <w:r>
              <w:t>The detailed Analysis.py-style event printout.</w:t>
            </w:r>
          </w:p>
        </w:tc>
      </w:tr>
      <w:tr>
        <w:trPr>
          <w:cantSplit/>
        </w:trPr>
        <w:tc>
          <w:tcPr>
            <w:tcW w:type="dxa" w:w="3650"/>
            <w:vAlign w:val="center"/>
            <w:tcMar>
              <w:top w:w="60" w:type="dxa"/>
              <w:bottom w:w="60" w:type="dxa"/>
              <w:start w:w="120" w:type="dxa"/>
              <w:end w:w="120" w:type="dxa"/>
            </w:tcMar>
          </w:tcPr>
          <w:p>
            <w:pPr>
              <w:pStyle w:val="CodeCell"/>
            </w:pPr>
            <w:r>
              <w:t>event_display.root</w:t>
            </w:r>
          </w:p>
        </w:tc>
        <w:tc>
          <w:tcPr>
            <w:tcW w:type="dxa" w:w="5710"/>
            <w:vAlign w:val="center"/>
            <w:tcMar>
              <w:top w:w="60" w:type="dxa"/>
              <w:bottom w:w="60" w:type="dxa"/>
              <w:start w:w="120" w:type="dxa"/>
              <w:end w:w="120" w:type="dxa"/>
            </w:tcMar>
          </w:tcPr>
          <w:p>
            <w:pPr>
              <w:pStyle w:val="TableText"/>
            </w:pPr>
            <w:r>
              <w:t>The event-display canvases and their drawing objects.</w:t>
            </w:r>
          </w:p>
        </w:tc>
      </w:tr>
      <w:tr>
        <w:trPr>
          <w:cantSplit/>
        </w:trPr>
        <w:tc>
          <w:tcPr>
            <w:tcW w:type="dxa" w:w="3650"/>
            <w:vAlign w:val="center"/>
            <w:tcMar>
              <w:top w:w="60" w:type="dxa"/>
              <w:bottom w:w="60" w:type="dxa"/>
              <w:start w:w="120" w:type="dxa"/>
              <w:end w:w="120" w:type="dxa"/>
            </w:tcMar>
          </w:tcPr>
          <w:p>
            <w:pPr>
              <w:pStyle w:val="CodeCell"/>
            </w:pPr>
            <w:r>
              <w:t>plots/event_3d.png</w:t>
            </w:r>
          </w:p>
        </w:tc>
        <w:tc>
          <w:tcPr>
            <w:tcW w:type="dxa" w:w="5710"/>
            <w:vAlign w:val="center"/>
            <w:tcMar>
              <w:top w:w="60" w:type="dxa"/>
              <w:bottom w:w="60" w:type="dxa"/>
              <w:start w:w="120" w:type="dxa"/>
              <w:end w:w="120" w:type="dxa"/>
            </w:tcMar>
          </w:tcPr>
          <w:p>
            <w:pPr>
              <w:pStyle w:val="TableText"/>
            </w:pPr>
            <w:r>
              <w:t>Three-dimensional track projection points.</w:t>
            </w:r>
          </w:p>
        </w:tc>
      </w:tr>
      <w:tr>
        <w:trPr>
          <w:cantSplit/>
        </w:trPr>
        <w:tc>
          <w:tcPr>
            <w:tcW w:type="dxa" w:w="3650"/>
            <w:vAlign w:val="center"/>
            <w:tcMar>
              <w:top w:w="60" w:type="dxa"/>
              <w:bottom w:w="60" w:type="dxa"/>
              <w:start w:w="120" w:type="dxa"/>
              <w:end w:w="120" w:type="dxa"/>
            </w:tcMar>
          </w:tcPr>
          <w:p>
            <w:pPr>
              <w:pStyle w:val="CodeCell"/>
            </w:pPr>
            <w:r>
              <w:t>plots/event_xy.png</w:t>
            </w:r>
          </w:p>
        </w:tc>
        <w:tc>
          <w:tcPr>
            <w:tcW w:type="dxa" w:w="5710"/>
            <w:vAlign w:val="center"/>
            <w:tcMar>
              <w:top w:w="60" w:type="dxa"/>
              <w:bottom w:w="60" w:type="dxa"/>
              <w:start w:w="120" w:type="dxa"/>
              <w:end w:w="120" w:type="dxa"/>
            </w:tcMar>
          </w:tcPr>
          <w:p>
            <w:pPr>
              <w:pStyle w:val="TableText"/>
            </w:pPr>
            <w:r>
              <w:t>Track projection points in XY.</w:t>
            </w:r>
          </w:p>
        </w:tc>
      </w:tr>
      <w:tr>
        <w:trPr>
          <w:cantSplit/>
        </w:trPr>
        <w:tc>
          <w:tcPr>
            <w:tcW w:type="dxa" w:w="3650"/>
            <w:vAlign w:val="center"/>
            <w:tcMar>
              <w:top w:w="60" w:type="dxa"/>
              <w:bottom w:w="60" w:type="dxa"/>
              <w:start w:w="120" w:type="dxa"/>
              <w:end w:w="120" w:type="dxa"/>
            </w:tcMar>
          </w:tcPr>
          <w:p>
            <w:pPr>
              <w:pStyle w:val="CodeCell"/>
            </w:pPr>
            <w:r>
              <w:t>plots/event_xy_clusters.png</w:t>
            </w:r>
          </w:p>
        </w:tc>
        <w:tc>
          <w:tcPr>
            <w:tcW w:type="dxa" w:w="5710"/>
            <w:vAlign w:val="center"/>
            <w:tcMar>
              <w:top w:w="60" w:type="dxa"/>
              <w:bottom w:w="60" w:type="dxa"/>
              <w:start w:w="120" w:type="dxa"/>
              <w:end w:w="120" w:type="dxa"/>
            </w:tcMar>
          </w:tcPr>
          <w:p>
            <w:pPr>
              <w:pStyle w:val="TableText"/>
            </w:pPr>
            <w:r>
              <w:t>Track projections and ECal clusters in XY.</w:t>
            </w:r>
          </w:p>
        </w:tc>
      </w:tr>
      <w:tr>
        <w:trPr>
          <w:cantSplit/>
        </w:trPr>
        <w:tc>
          <w:tcPr>
            <w:tcW w:type="dxa" w:w="3650"/>
            <w:vAlign w:val="center"/>
            <w:tcMar>
              <w:top w:w="60" w:type="dxa"/>
              <w:bottom w:w="60" w:type="dxa"/>
              <w:start w:w="120" w:type="dxa"/>
              <w:end w:w="120" w:type="dxa"/>
            </w:tcMar>
          </w:tcPr>
          <w:p>
            <w:pPr>
              <w:pStyle w:val="CodeCell"/>
            </w:pPr>
            <w:r>
              <w:t>plots/event_rz_clusters.png</w:t>
            </w:r>
          </w:p>
        </w:tc>
        <w:tc>
          <w:tcPr>
            <w:tcW w:type="dxa" w:w="5710"/>
            <w:vAlign w:val="center"/>
            <w:tcMar>
              <w:top w:w="60" w:type="dxa"/>
              <w:bottom w:w="60" w:type="dxa"/>
              <w:start w:w="120" w:type="dxa"/>
              <w:end w:w="120" w:type="dxa"/>
            </w:tcMar>
          </w:tcPr>
          <w:p>
            <w:pPr>
              <w:pStyle w:val="TableText"/>
            </w:pPr>
            <w:r>
              <w:t>Track projections and ECal clusters in cylindrical RZ.</w:t>
            </w:r>
          </w:p>
        </w:tc>
      </w:tr>
    </w:tbl>
    <w:p>
      <w:pPr>
        <w:pStyle w:val="Note"/>
        <w:spacing w:before="120"/>
      </w:pPr>
      <w:r>
        <w:t>RZ uses Z on the horizontal axis and R = sqrt(x*x + y*y) on the vertical axis. --tracks-only needs only the projection branches and produces the 3D and XY views.</w:t>
      </w:r>
    </w:p>
    <w:p>
      <w:pPr>
        <w:pStyle w:val="Heading2"/>
      </w:pPr>
      <w:r>
        <w:t>Parent checks and replotting</w:t>
      </w:r>
    </w:p>
    <w:p>
      <w:pPr>
        <w:pStyle w:val="Definition"/>
      </w:pPr>
      <w:r>
        <w:rPr>
          <w:b/>
        </w:rPr>
        <w:t xml:space="preserve">parents </w:t>
      </w:r>
      <w:r>
        <w:t>Writes parents.root, event/failure JSONL records, and a summary. Its optional plots are h_parent_status.png and h_parent_pdg.png inside plots/.</w:t>
      </w:r>
    </w:p>
    <w:p>
      <w:pPr>
        <w:pStyle w:val="Definition"/>
      </w:pPr>
      <w:r>
        <w:rPr>
          <w:b/>
        </w:rPr>
        <w:t xml:space="preserve">plot </w:t>
      </w:r>
      <w:r>
        <w:t>Reads an existing matching run's analysis.root and config.json. Writes the eight analysis PNGs and plots.root into a new result directory. It does not read the original event files.</w:t>
      </w:r>
    </w:p>
    <w:p>
      <w:pPr>
        <w:pStyle w:val="Heading2"/>
      </w:pPr>
      <w:r>
        <w:t>Existing runs at this snapshot</w:t>
      </w:r>
    </w:p>
    <w:p>
      <w:pPr/>
      <w:r>
        <w:t>The directory contains analyze_20260902_175815_641455, analyze_20260903_111714_180771, and event1_display. All three run.json files report complete. The first analysis predates summary.txt; later results reflect the features available when they were created.</w:t>
      </w:r>
    </w:p>
    <w:p>
      <w:pPr>
        <w:pStyle w:val="Note"/>
      </w:pPr>
      <w:r>
        <w:t>complete records a finished invocation; it does not certify physics equivalence. A forced termination can leave status at running.</w:t>
      </w:r>
    </w:p>
    <w:p>
      <w:pPr>
        <w:pStyle w:val="Heading1"/>
        <w:pageBreakBefore/>
      </w:pPr>
      <w:r>
        <w:t>tests/: what is checked</w:t>
      </w:r>
    </w:p>
    <w:p>
      <w:pPr/>
      <w:r>
        <w:t>These checks verify the refactor and its workflows. Most use synthetic events and run without ROOT.</w:t>
      </w:r>
    </w:p>
    <w:tbl>
      <w:tblPr>
        <w:tblW w:type="dxa" w:w="9360"/>
        <w:jc w:val="left"/>
        <w:tblLayout w:type="fixed"/>
        <w:tblLook w:firstColumn="1" w:firstRow="1" w:lastColumn="0" w:lastRow="0" w:noHBand="0" w:noVBand="1" w:val="04A0"/>
        <w:tblInd w:type="dxa" w:w="120"/>
        <w:tblBorders>
          <w:top w:val="single" w:sz="4" w:color="D6DEE6"/>
          <w:left w:val="single" w:sz="4" w:color="D6DEE6"/>
          <w:bottom w:val="single" w:sz="4" w:color="D6DEE6"/>
          <w:right w:val="single" w:sz="4" w:color="D6DEE6"/>
          <w:insideH w:val="single" w:sz="4" w:color="D6DEE6"/>
          <w:insideV w:val="single" w:sz="4" w:color="D6DEE6"/>
        </w:tblBorders>
      </w:tblPr>
      <w:tblGrid>
        <w:gridCol w:w="3650"/>
        <w:gridCol w:w="5710"/>
      </w:tblGrid>
      <w:tr>
        <w:trPr>
          <w:tblHeader/>
          <w:cantSplit/>
        </w:trPr>
        <w:tc>
          <w:tcPr>
            <w:tcW w:type="dxa" w:w="3650"/>
            <w:shd w:fill="E8EEF5"/>
            <w:vAlign w:val="center"/>
            <w:tcMar>
              <w:top w:w="60" w:type="dxa"/>
              <w:bottom w:w="60" w:type="dxa"/>
              <w:start w:w="120" w:type="dxa"/>
              <w:end w:w="120" w:type="dxa"/>
            </w:tcMar>
          </w:tcPr>
          <w:p>
            <w:pPr>
              <w:pStyle w:val="TableHead"/>
            </w:pPr>
            <w:r>
              <w:t>File</w:t>
            </w:r>
          </w:p>
        </w:tc>
        <w:tc>
          <w:tcPr>
            <w:tcW w:type="dxa" w:w="5710"/>
            <w:shd w:fill="E8EEF5"/>
            <w:vAlign w:val="center"/>
            <w:tcMar>
              <w:top w:w="60" w:type="dxa"/>
              <w:bottom w:w="60" w:type="dxa"/>
              <w:start w:w="120" w:type="dxa"/>
              <w:end w:w="120" w:type="dxa"/>
            </w:tcMar>
          </w:tcPr>
          <w:p>
            <w:pPr>
              <w:pStyle w:val="TableHead"/>
            </w:pPr>
            <w:r>
              <w:t>Purpose</w:t>
            </w:r>
          </w:p>
        </w:tc>
      </w:tr>
      <w:tr>
        <w:trPr>
          <w:cantSplit/>
        </w:trPr>
        <w:tc>
          <w:tcPr>
            <w:tcW w:type="dxa" w:w="3650"/>
            <w:vAlign w:val="center"/>
            <w:tcMar>
              <w:top w:w="60" w:type="dxa"/>
              <w:bottom w:w="60" w:type="dxa"/>
              <w:start w:w="120" w:type="dxa"/>
              <w:end w:w="120" w:type="dxa"/>
            </w:tcMar>
          </w:tcPr>
          <w:p>
            <w:pPr>
              <w:pStyle w:val="CodeCell"/>
            </w:pPr>
            <w:r>
              <w:t>__init__.py</w:t>
            </w:r>
          </w:p>
        </w:tc>
        <w:tc>
          <w:tcPr>
            <w:tcW w:type="dxa" w:w="5710"/>
            <w:vAlign w:val="center"/>
            <w:tcMar>
              <w:top w:w="60" w:type="dxa"/>
              <w:bottom w:w="60" w:type="dxa"/>
              <w:start w:w="120" w:type="dxa"/>
              <w:end w:w="120" w:type="dxa"/>
            </w:tcMar>
          </w:tcPr>
          <w:p>
            <w:pPr>
              <w:pStyle w:val="TableText"/>
            </w:pPr>
            <w:r>
              <w:t>Makes tests an importable package.</w:t>
            </w:r>
          </w:p>
        </w:tc>
      </w:tr>
      <w:tr>
        <w:trPr>
          <w:cantSplit/>
        </w:trPr>
        <w:tc>
          <w:tcPr>
            <w:tcW w:type="dxa" w:w="3650"/>
            <w:vAlign w:val="center"/>
            <w:tcMar>
              <w:top w:w="60" w:type="dxa"/>
              <w:bottom w:w="60" w:type="dxa"/>
              <w:start w:w="120" w:type="dxa"/>
              <w:end w:w="120" w:type="dxa"/>
            </w:tcMar>
          </w:tcPr>
          <w:p>
            <w:pPr>
              <w:pStyle w:val="CodeCell"/>
            </w:pPr>
            <w:r>
              <w:t>fixtures.py</w:t>
            </w:r>
          </w:p>
        </w:tc>
        <w:tc>
          <w:tcPr>
            <w:tcW w:type="dxa" w:w="5710"/>
            <w:vAlign w:val="center"/>
            <w:tcMar>
              <w:top w:w="60" w:type="dxa"/>
              <w:bottom w:w="60" w:type="dxa"/>
              <w:start w:w="120" w:type="dxa"/>
              <w:end w:w="120" w:type="dxa"/>
            </w:tcMar>
          </w:tcPr>
          <w:p>
            <w:pPr>
              <w:pStyle w:val="TableText"/>
            </w:pPr>
            <w:r>
              <w:t>Small event records and a chain simulator, including missing matches, cut boundaries and special cases.</w:t>
            </w:r>
          </w:p>
        </w:tc>
      </w:tr>
      <w:tr>
        <w:trPr>
          <w:cantSplit/>
        </w:trPr>
        <w:tc>
          <w:tcPr>
            <w:tcW w:type="dxa" w:w="3650"/>
            <w:vAlign w:val="center"/>
            <w:tcMar>
              <w:top w:w="60" w:type="dxa"/>
              <w:bottom w:w="60" w:type="dxa"/>
              <w:start w:w="120" w:type="dxa"/>
              <w:end w:w="120" w:type="dxa"/>
            </w:tcMar>
          </w:tcPr>
          <w:p>
            <w:pPr>
              <w:pStyle w:val="CodeCell"/>
            </w:pPr>
            <w:r>
              <w:t>root_stub.py</w:t>
            </w:r>
          </w:p>
        </w:tc>
        <w:tc>
          <w:tcPr>
            <w:tcW w:type="dxa" w:w="5710"/>
            <w:vAlign w:val="center"/>
            <w:tcMar>
              <w:top w:w="60" w:type="dxa"/>
              <w:bottom w:w="60" w:type="dxa"/>
              <w:start w:w="120" w:type="dxa"/>
              <w:end w:w="120" w:type="dxa"/>
            </w:tcMar>
          </w:tcPr>
          <w:p>
            <w:pPr>
              <w:pStyle w:val="TableText"/>
            </w:pPr>
            <w:r>
              <w:t>A small histogram recorder used when PyROOT is unavailable.</w:t>
            </w:r>
          </w:p>
        </w:tc>
      </w:tr>
      <w:tr>
        <w:trPr>
          <w:cantSplit/>
        </w:trPr>
        <w:tc>
          <w:tcPr>
            <w:tcW w:type="dxa" w:w="3650"/>
            <w:vAlign w:val="center"/>
            <w:tcMar>
              <w:top w:w="60" w:type="dxa"/>
              <w:bottom w:w="60" w:type="dxa"/>
              <w:start w:w="120" w:type="dxa"/>
              <w:end w:w="120" w:type="dxa"/>
            </w:tcMar>
          </w:tcPr>
          <w:p>
            <w:pPr>
              <w:pStyle w:val="CodeCell"/>
            </w:pPr>
            <w:r>
              <w:t>reference.py</w:t>
            </w:r>
          </w:p>
        </w:tc>
        <w:tc>
          <w:tcPr>
            <w:tcW w:type="dxa" w:w="5710"/>
            <w:vAlign w:val="center"/>
            <w:tcMar>
              <w:top w:w="60" w:type="dxa"/>
              <w:bottom w:w="60" w:type="dxa"/>
              <w:start w:w="120" w:type="dxa"/>
              <w:end w:w="120" w:type="dxa"/>
            </w:tcMar>
          </w:tcPr>
          <w:p>
            <w:pPr>
              <w:pStyle w:val="TableText"/>
            </w:pPr>
            <w:r>
              <w:t>Loads the preserved calculation in OLD/other/Distances_Between_cluster_track.py as a comparison reference.</w:t>
            </w:r>
          </w:p>
        </w:tc>
      </w:tr>
      <w:tr>
        <w:trPr>
          <w:cantSplit/>
        </w:trPr>
        <w:tc>
          <w:tcPr>
            <w:tcW w:type="dxa" w:w="3650"/>
            <w:vAlign w:val="center"/>
            <w:tcMar>
              <w:top w:w="60" w:type="dxa"/>
              <w:bottom w:w="60" w:type="dxa"/>
              <w:start w:w="120" w:type="dxa"/>
              <w:end w:w="120" w:type="dxa"/>
            </w:tcMar>
          </w:tcPr>
          <w:p>
            <w:pPr>
              <w:pStyle w:val="CodeCell"/>
            </w:pPr>
            <w:r>
              <w:t>test_analysis.py</w:t>
            </w:r>
          </w:p>
        </w:tc>
        <w:tc>
          <w:tcPr>
            <w:tcW w:type="dxa" w:w="5710"/>
            <w:vAlign w:val="center"/>
            <w:tcMar>
              <w:top w:w="60" w:type="dxa"/>
              <w:bottom w:w="60" w:type="dxa"/>
              <w:start w:w="120" w:type="dxa"/>
              <w:end w:w="120" w:type="dxa"/>
            </w:tcMar>
          </w:tcPr>
          <w:p>
            <w:pPr>
              <w:pStyle w:val="TableText"/>
            </w:pPr>
            <w:r>
              <w:t>Checks histogram fills, counters, legacy records, selection order, empty samples and event-data copies.</w:t>
            </w:r>
          </w:p>
        </w:tc>
      </w:tr>
      <w:tr>
        <w:trPr>
          <w:cantSplit/>
        </w:trPr>
        <w:tc>
          <w:tcPr>
            <w:tcW w:type="dxa" w:w="3650"/>
            <w:vAlign w:val="center"/>
            <w:tcMar>
              <w:top w:w="60" w:type="dxa"/>
              <w:bottom w:w="60" w:type="dxa"/>
              <w:start w:w="120" w:type="dxa"/>
              <w:end w:w="120" w:type="dxa"/>
            </w:tcMar>
          </w:tcPr>
          <w:p>
            <w:pPr>
              <w:pStyle w:val="CodeCell"/>
            </w:pPr>
            <w:r>
              <w:t>test_inputs_cli.py</w:t>
            </w:r>
          </w:p>
        </w:tc>
        <w:tc>
          <w:tcPr>
            <w:tcW w:type="dxa" w:w="5710"/>
            <w:vAlign w:val="center"/>
            <w:tcMar>
              <w:top w:w="60" w:type="dxa"/>
              <w:bottom w:w="60" w:type="dxa"/>
              <w:start w:w="120" w:type="dxa"/>
              <w:end w:w="120" w:type="dxa"/>
            </w:tcMar>
          </w:tcPr>
          <w:p>
            <w:pPr>
              <w:pStyle w:val="TableText"/>
            </w:pPr>
            <w:r>
              <w:t>Checks lists, config validation, output protection, record writing and CLI help/errors.</w:t>
            </w:r>
          </w:p>
        </w:tc>
      </w:tr>
      <w:tr>
        <w:trPr>
          <w:cantSplit/>
        </w:trPr>
        <w:tc>
          <w:tcPr>
            <w:tcW w:type="dxa" w:w="3650"/>
            <w:vAlign w:val="center"/>
            <w:tcMar>
              <w:top w:w="60" w:type="dxa"/>
              <w:bottom w:w="60" w:type="dxa"/>
              <w:start w:w="120" w:type="dxa"/>
              <w:end w:w="120" w:type="dxa"/>
            </w:tcMar>
          </w:tcPr>
          <w:p>
            <w:pPr>
              <w:pStyle w:val="CodeCell"/>
            </w:pPr>
            <w:r>
              <w:t>test_reporting_selection.py</w:t>
            </w:r>
          </w:p>
        </w:tc>
        <w:tc>
          <w:tcPr>
            <w:tcW w:type="dxa" w:w="5710"/>
            <w:vAlign w:val="center"/>
            <w:tcMar>
              <w:top w:w="60" w:type="dxa"/>
              <w:bottom w:w="60" w:type="dxa"/>
              <w:start w:w="120" w:type="dxa"/>
              <w:end w:w="120" w:type="dxa"/>
            </w:tcMar>
          </w:tcPr>
          <w:p>
            <w:pPr>
              <w:pStyle w:val="TableText"/>
            </w:pPr>
            <w:r>
              <w:t>Checks Trial.py summary values and that a selected event is the only entry read.</w:t>
            </w:r>
          </w:p>
        </w:tc>
      </w:tr>
      <w:tr>
        <w:trPr>
          <w:cantSplit/>
        </w:trPr>
        <w:tc>
          <w:tcPr>
            <w:tcW w:type="dxa" w:w="3650"/>
            <w:vAlign w:val="center"/>
            <w:tcMar>
              <w:top w:w="60" w:type="dxa"/>
              <w:bottom w:w="60" w:type="dxa"/>
              <w:start w:w="120" w:type="dxa"/>
              <w:end w:w="120" w:type="dxa"/>
            </w:tcMar>
          </w:tcPr>
          <w:p>
            <w:pPr>
              <w:pStyle w:val="CodeCell"/>
            </w:pPr>
            <w:r>
              <w:t>test_event_display.py</w:t>
            </w:r>
          </w:p>
        </w:tc>
        <w:tc>
          <w:tcPr>
            <w:tcW w:type="dxa" w:w="5710"/>
            <w:vAlign w:val="center"/>
            <w:tcMar>
              <w:top w:w="60" w:type="dxa"/>
              <w:bottom w:w="60" w:type="dxa"/>
              <w:start w:w="120" w:type="dxa"/>
              <w:end w:w="120" w:type="dxa"/>
            </w:tcMar>
          </w:tcPr>
          <w:p>
            <w:pPr>
              <w:pStyle w:val="TableText"/>
            </w:pPr>
            <w:r>
              <w:t>Checks display dispatch, XY/RZ track and cluster coordinates, and projection-only inputs.</w:t>
            </w:r>
          </w:p>
        </w:tc>
      </w:tr>
      <w:tr>
        <w:trPr>
          <w:cantSplit/>
        </w:trPr>
        <w:tc>
          <w:tcPr>
            <w:tcW w:type="dxa" w:w="3650"/>
            <w:vAlign w:val="center"/>
            <w:tcMar>
              <w:top w:w="60" w:type="dxa"/>
              <w:bottom w:w="60" w:type="dxa"/>
              <w:start w:w="120" w:type="dxa"/>
              <w:end w:w="120" w:type="dxa"/>
            </w:tcMar>
          </w:tcPr>
          <w:p>
            <w:pPr>
              <w:pStyle w:val="CodeCell"/>
            </w:pPr>
            <w:r>
              <w:t>compare_root_sample.py</w:t>
            </w:r>
          </w:p>
        </w:tc>
        <w:tc>
          <w:tcPr>
            <w:tcW w:type="dxa" w:w="5710"/>
            <w:vAlign w:val="center"/>
            <w:tcMar>
              <w:top w:w="60" w:type="dxa"/>
              <w:bottom w:w="60" w:type="dxa"/>
              <w:start w:w="120" w:type="dxa"/>
              <w:end w:w="120" w:type="dxa"/>
            </w:tcMar>
          </w:tcPr>
          <w:p>
            <w:pPr>
              <w:pStyle w:val="TableText"/>
            </w:pPr>
            <w:r>
              <w:t>Compares a small real ROOT sample with the archived calculation, including histogram bins/errors, counts and records.</w:t>
            </w:r>
          </w:p>
        </w:tc>
      </w:tr>
    </w:tbl>
    <w:p>
      <w:pPr>
        <w:pStyle w:val="Heading2"/>
      </w:pPr>
      <w:r>
        <w:t>Commands</w:t>
      </w:r>
    </w:p>
    <w:p>
      <w:pPr>
        <w:pStyle w:val="Code"/>
        <w:keepLines/>
        <w:shd w:fill="F4F6F9"/>
      </w:pPr>
      <w:r>
        <w:t>python3 -m unittest discover -v</w:t>
      </w:r>
    </w:p>
    <w:p>
      <w:pPr/>
      <w:r>
        <w:t>The latest development check passed 19 tests. Synthetic checks do not verify ROOT serialization, rendering or EDM dictionaries.</w:t>
      </w:r>
    </w:p>
    <w:p>
      <w:pPr>
        <w:pStyle w:val="Code"/>
        <w:keepLines/>
        <w:shd w:fill="F4F6F9"/>
      </w:pPr>
      <w:r>
        <w:t>python3 -m tests.compare_root_sample \</w:t>
        <w:br/>
        <w:t xml:space="preserve">  --file-list inputs/local_example.txt --max-events 100</w:t>
      </w:r>
    </w:p>
    <w:p>
      <w:pPr/>
      <w:r>
        <w:t>Run the second command in the EIC environment. It uses default settings. Keep the archived reference script available for this comparison.</w:t>
      </w:r>
    </w:p>
    <w:p>
      <w:pPr>
        <w:pStyle w:val="Heading1"/>
        <w:pageBreakBefore/>
      </w:pPr>
      <w:r>
        <w:t>OLD/other/: the original DIS scripts</w:t>
      </w:r>
    </w:p>
    <w:p>
      <w:pPr/>
      <w:r>
        <w:t>This archive preserves the original scripts, with hard-coded settings and fixed output names. Several run immediately on import. Use the new runners for routine work.</w:t>
      </w:r>
    </w:p>
    <w:p>
      <w:pPr>
        <w:pStyle w:val="Definition"/>
      </w:pPr>
      <w:r>
        <w:rPr>
          <w:b/>
        </w:rPr>
        <w:t xml:space="preserve">Analysis.py </w:t>
      </w:r>
      <w:r>
        <w:t>Your original one-event inspection script. It follows projected tracks to reconstructed particles and MC labels, prints point and cluster coordinates, and draws 3D, XY and RZ views. Current counterpart: run_event_display.py.</w:t>
      </w:r>
    </w:p>
    <w:p>
      <w:pPr>
        <w:pStyle w:val="Definition"/>
      </w:pPr>
      <w:r>
        <w:rPr>
          <w:b/>
        </w:rPr>
        <w:t xml:space="preserve">Tracks_Vs_Clusters.py </w:t>
      </w:r>
      <w:r>
        <w:t>Earlier projection-only 3D and XY track-point views. Current counterpart: run_event_display.py --tracks-only.</w:t>
      </w:r>
    </w:p>
    <w:p>
      <w:pPr>
        <w:pStyle w:val="Definition"/>
      </w:pPr>
      <w:r>
        <w:rPr>
          <w:b/>
        </w:rPr>
        <w:t xml:space="preserve">Distances_Between_cluster_track.py </w:t>
      </w:r>
      <w:r>
        <w:t>The main refactor reference: selects the MC scattered electron, follows associations, compares nearest clusters with/without E/p, and fills distance, position-difference, parent and failure histograms. Current counterpart: analyze.</w:t>
      </w:r>
    </w:p>
    <w:p>
      <w:pPr>
        <w:pStyle w:val="Definition"/>
      </w:pPr>
      <w:r>
        <w:rPr>
          <w:b/>
        </w:rPr>
        <w:t xml:space="preserve">Trial.py </w:t>
      </w:r>
      <w:r>
        <w:t>Matching study with the detailed terminal summary now reproduced by reporting.py. It lacks the extra position-difference histograms of the larger distance script.</w:t>
      </w:r>
    </w:p>
    <w:p>
      <w:pPr>
        <w:pStyle w:val="Definition"/>
      </w:pPr>
      <w:r>
        <w:rPr>
          <w:b/>
        </w:rPr>
        <w:t xml:space="preserve">checking_parent.py </w:t>
      </w:r>
      <w:r>
        <w:t>Studies the first MC status-1 electron's first parent and the fraction of parents with status 23. Current counterpart: parents.</w:t>
      </w:r>
    </w:p>
    <w:p>
      <w:pPr>
        <w:pStyle w:val="Definition"/>
      </w:pPr>
      <w:r>
        <w:rPr>
          <w:b/>
        </w:rPr>
        <w:t xml:space="preserve">README.md and the .txt list </w:t>
      </w:r>
      <w:r>
        <w:t>README maps old scripts to new commands. list_18x275_Q2_100_26_02.txt contains the original one-file remote input list; a copy is in inputs/.</w:t>
      </w:r>
    </w:p>
    <w:p>
      <w:pPr>
        <w:pStyle w:val="Heading2"/>
      </w:pPr>
      <w:r>
        <w:t>Data and saved figures in this archive</w:t>
      </w:r>
    </w:p>
    <w:p>
      <w:pPr>
        <w:pStyle w:val="Definition"/>
      </w:pPr>
      <w:r>
        <w:rPr>
          <w:b/>
        </w:rPr>
        <w:t xml:space="preserve">Event_tracks/ </w:t>
      </w:r>
      <w:r>
        <w:t>Stored event images: Event3.png and its copy, event1_Ecal_track.jpg, event2.pdf, and event4.png through event6.png. These are inspection artifacts, not Python code.</w:t>
      </w:r>
    </w:p>
    <w:p>
      <w:pPr>
        <w:pStyle w:val="Definition"/>
      </w:pPr>
      <w:r>
        <w:rPr>
          <w:b/>
        </w:rPr>
        <w:t xml:space="preserve">epic/RECO/26.07.0/epic_craterlake/DIS/ </w:t>
      </w:r>
      <w:r>
        <w:t>Contains locally stored CC and NC ROOT inputs under CC/18x275/minQ2=100/ and NC/18x275/minQ2=100/. These nested directories organize datasets, not analysis modules.</w:t>
      </w:r>
    </w:p>
    <w:p>
      <w:pPr>
        <w:pStyle w:val="Note"/>
      </w:pPr>
      <w:r>
        <w:t>The directory also holds pythia*.root inputs and earlier output files such as scattered_electron_cluster_fraction_with_EoP.root, one_event_track_projection_points.root and parent_status_first_status1_electron.root. Historical output names alone do not establish which exact code/settings produced them.</w:t>
      </w:r>
    </w:p>
    <w:p>
      <w:pPr>
        <w:pStyle w:val="Heading1"/>
        <w:pageBreakBefore/>
      </w:pPr>
      <w:r>
        <w:t>OLD/single_electron/: earlier studies</w:t>
      </w:r>
    </w:p>
    <w:p>
      <w:pPr/>
      <w:r>
        <w:t>These scripts explore single-electron samples and earlier matching approaches. Their selections are not identical to the current scattered-electron analysis, so use them as study references rather than interchangeable replacements.</w:t>
      </w:r>
    </w:p>
    <w:p>
      <w:pPr>
        <w:pStyle w:val="Definition"/>
      </w:pPr>
      <w:r>
        <w:rPr>
          <w:b/>
        </w:rPr>
        <w:t xml:space="preserve">Analysis.py </w:t>
      </w:r>
      <w:r>
        <w:t>Loops over all projected tracks with a truth-matched electron or positron label (absolute PDG 11). Finds the nearest ECal cluster and makes 3D/transverse distance and fraction-versus-cut histograms. This is different from OLD/other/Analysis.py, which displays one event.</w:t>
      </w:r>
    </w:p>
    <w:p>
      <w:pPr>
        <w:pStyle w:val="Definition"/>
      </w:pPr>
      <w:r>
        <w:rPr>
          <w:b/>
        </w:rPr>
        <w:t xml:space="preserve">Distances_Between_cluster_track.py </w:t>
      </w:r>
      <w:r>
        <w:t>Uses the first projection in each event, selects its first ECAL system-101 point, and measures nearest-cluster 3D/XY distances and Cartesian/angular differences. It also records cluster/projection counts.</w:t>
      </w:r>
    </w:p>
    <w:p>
      <w:pPr>
        <w:pStyle w:val="Definition"/>
      </w:pPr>
      <w:r>
        <w:rPr>
          <w:b/>
        </w:rPr>
        <w:t xml:space="preserve">Track_Projection.py </w:t>
      </w:r>
      <w:r>
        <w:t>Builds XY views for up to the first ten events, using each event's first projection and highlighting its nearest cluster in 3D distance. It saves a ROOT canvas and a combined image.</w:t>
      </w:r>
    </w:p>
    <w:p>
      <w:pPr>
        <w:pStyle w:val="Definition"/>
      </w:pPr>
      <w:r>
        <w:rPr>
          <w:b/>
        </w:rPr>
        <w:t xml:space="preserve">XYZ_ECAL.py </w:t>
      </w:r>
      <w:r>
        <w:t>Scans ECal cluster coordinates to determine ranges, then fills a 3D position histogram. Supports clusters in an events collection or in a separate cluster TTree.</w:t>
      </w:r>
    </w:p>
    <w:p>
      <w:pPr>
        <w:pStyle w:val="Definition"/>
      </w:pPr>
      <w:r>
        <w:rPr>
          <w:b/>
        </w:rPr>
        <w:t xml:space="preserve">The three .txt lists </w:t>
      </w:r>
      <w:r>
        <w:t>single_electron.txt contains one remote 5 GeV e- sample at 45-135 degrees (RECO/26.02.0). The two longer lists are copies of the NC DIS and SIDIS lists described earlier.</w:t>
      </w:r>
    </w:p>
    <w:p>
      <w:pPr>
        <w:pStyle w:val="Definition"/>
      </w:pPr>
      <w:r>
        <w:rPr>
          <w:b/>
        </w:rPr>
        <w:t xml:space="preserve">Results/ and loose .root/.png files </w:t>
      </w:r>
      <w:r>
        <w:t>Stored cluster/projection position histograms, track displays, matching distances and efficiency figures. Some belong to earlier script versions whose producing code is no longer present here. Uppercase Results/ is an archive; lowercase results/ is the active runner output location.</w:t>
      </w:r>
    </w:p>
    <w:p>
      <w:pPr>
        <w:pStyle w:val="Heading2"/>
      </w:pPr>
      <w:r>
        <w:t>Separate root-level script: 4_E-pz_histograms.py</w:t>
      </w:r>
    </w:p>
    <w:p>
      <w:pPr/>
      <w:r>
        <w:t>This independent study reads list_SIDIS_18x275_q2_0to1.txt and writes SIDIS_analysis_merged.root. It saves an event-wise MCParticlesReduced tree, reconstructed and status-1 MC totals of E-pz, and neutron (PDG 2112) and K0L (PDG 130) contributions normalized to 36 GeV. It is not called by either new runner.</w:t>
      </w:r>
    </w:p>
    <w:p>
      <w:pPr>
        <w:pStyle w:val="Note"/>
      </w:pPr>
      <w:r>
        <w:t>Its actual output filename starts with SIDIS, even though the final printed message contains a spelling mismatch. Like the archived scripts, it uses fixed input/output names and is intended to be run directly.</w:t>
      </w:r>
    </w:p>
    <w:p>
      <w:pPr>
        <w:pStyle w:val="Heading1"/>
        <w:pageBreakBefore/>
      </w:pPr>
      <w:r>
        <w:t>Where to make changes</w:t>
      </w:r>
    </w:p>
    <w:tbl>
      <w:tblPr>
        <w:tblW w:type="dxa" w:w="9360"/>
        <w:jc w:val="left"/>
        <w:tblLayout w:type="fixed"/>
        <w:tblLook w:firstColumn="1" w:firstRow="1" w:lastColumn="0" w:lastRow="0" w:noHBand="0" w:noVBand="1" w:val="04A0"/>
        <w:tblInd w:type="dxa" w:w="120"/>
        <w:tblBorders>
          <w:top w:val="single" w:sz="4" w:color="D6DEE6"/>
          <w:left w:val="single" w:sz="4" w:color="D6DEE6"/>
          <w:bottom w:val="single" w:sz="4" w:color="D6DEE6"/>
          <w:right w:val="single" w:sz="4" w:color="D6DEE6"/>
          <w:insideH w:val="single" w:sz="4" w:color="D6DEE6"/>
          <w:insideV w:val="single" w:sz="4" w:color="D6DEE6"/>
        </w:tblBorders>
      </w:tblPr>
      <w:tblGrid>
        <w:gridCol w:w="3760"/>
        <w:gridCol w:w="5600"/>
      </w:tblGrid>
      <w:tr>
        <w:trPr>
          <w:tblHeader/>
          <w:cantSplit/>
        </w:trPr>
        <w:tc>
          <w:tcPr>
            <w:tcW w:type="dxa" w:w="3760"/>
            <w:shd w:fill="E8EEF5"/>
            <w:vAlign w:val="center"/>
            <w:tcMar>
              <w:top w:w="60" w:type="dxa"/>
              <w:bottom w:w="60" w:type="dxa"/>
              <w:start w:w="120" w:type="dxa"/>
              <w:end w:w="120" w:type="dxa"/>
            </w:tcMar>
          </w:tcPr>
          <w:p>
            <w:pPr>
              <w:pStyle w:val="TableHead"/>
            </w:pPr>
            <w:r>
              <w:t>If you want to change...</w:t>
            </w:r>
          </w:p>
        </w:tc>
        <w:tc>
          <w:tcPr>
            <w:tcW w:type="dxa" w:w="5600"/>
            <w:shd w:fill="E8EEF5"/>
            <w:vAlign w:val="center"/>
            <w:tcMar>
              <w:top w:w="60" w:type="dxa"/>
              <w:bottom w:w="60" w:type="dxa"/>
              <w:start w:w="120" w:type="dxa"/>
              <w:end w:w="120" w:type="dxa"/>
            </w:tcMar>
          </w:tcPr>
          <w:p>
            <w:pPr>
              <w:pStyle w:val="TableHead"/>
            </w:pPr>
            <w:r>
              <w:t>Start here</w:t>
            </w:r>
          </w:p>
        </w:tc>
      </w:tr>
      <w:tr>
        <w:trPr>
          <w:cantSplit/>
        </w:trPr>
        <w:tc>
          <w:tcPr>
            <w:tcW w:type="dxa" w:w="3760"/>
            <w:vAlign w:val="center"/>
            <w:tcMar>
              <w:top w:w="60" w:type="dxa"/>
              <w:bottom w:w="60" w:type="dxa"/>
              <w:start w:w="120" w:type="dxa"/>
              <w:end w:w="120" w:type="dxa"/>
            </w:tcMar>
          </w:tcPr>
          <w:p>
            <w:pPr>
              <w:pStyle w:val="TableText"/>
            </w:pPr>
            <w:r>
              <w:t>The ROOT sample</w:t>
            </w:r>
          </w:p>
        </w:tc>
        <w:tc>
          <w:tcPr>
            <w:tcW w:type="dxa" w:w="5600"/>
            <w:vAlign w:val="center"/>
            <w:tcMar>
              <w:top w:w="60" w:type="dxa"/>
              <w:bottom w:w="60" w:type="dxa"/>
              <w:start w:w="120" w:type="dxa"/>
              <w:end w:w="120" w:type="dxa"/>
            </w:tcMar>
          </w:tcPr>
          <w:p>
            <w:pPr>
              <w:pStyle w:val="TableText"/>
            </w:pPr>
            <w:r>
              <w:t>--input, --file-list, or a text list in inputs/.</w:t>
            </w:r>
          </w:p>
        </w:tc>
      </w:tr>
      <w:tr>
        <w:trPr>
          <w:cantSplit/>
        </w:trPr>
        <w:tc>
          <w:tcPr>
            <w:tcW w:type="dxa" w:w="3760"/>
            <w:vAlign w:val="center"/>
            <w:tcMar>
              <w:top w:w="60" w:type="dxa"/>
              <w:bottom w:w="60" w:type="dxa"/>
              <w:start w:w="120" w:type="dxa"/>
              <w:end w:w="120" w:type="dxa"/>
            </w:tcMar>
          </w:tcPr>
          <w:p>
            <w:pPr>
              <w:pStyle w:val="TableText"/>
            </w:pPr>
            <w:r>
              <w:t>E/p, distance cut or detector settings</w:t>
            </w:r>
          </w:p>
        </w:tc>
        <w:tc>
          <w:tcPr>
            <w:tcW w:type="dxa" w:w="5600"/>
            <w:vAlign w:val="center"/>
            <w:tcMar>
              <w:top w:w="60" w:type="dxa"/>
              <w:bottom w:w="60" w:type="dxa"/>
              <w:start w:w="120" w:type="dxa"/>
              <w:end w:w="120" w:type="dxa"/>
            </w:tcMar>
          </w:tcPr>
          <w:p>
            <w:pPr>
              <w:pStyle w:val="TableText"/>
            </w:pPr>
            <w:r>
              <w:t>configs/baseline.json, a copied config, or the supported CLI overrides.</w:t>
            </w:r>
          </w:p>
        </w:tc>
      </w:tr>
      <w:tr>
        <w:trPr>
          <w:cantSplit/>
        </w:trPr>
        <w:tc>
          <w:tcPr>
            <w:tcW w:type="dxa" w:w="3760"/>
            <w:vAlign w:val="center"/>
            <w:tcMar>
              <w:top w:w="60" w:type="dxa"/>
              <w:bottom w:w="60" w:type="dxa"/>
              <w:start w:w="120" w:type="dxa"/>
              <w:end w:w="120" w:type="dxa"/>
            </w:tcMar>
          </w:tcPr>
          <w:p>
            <w:pPr>
              <w:pStyle w:val="TableText"/>
            </w:pPr>
            <w:r>
              <w:t>Which MC electron is selected</w:t>
            </w:r>
          </w:p>
        </w:tc>
        <w:tc>
          <w:tcPr>
            <w:tcW w:type="dxa" w:w="5600"/>
            <w:vAlign w:val="center"/>
            <w:tcMar>
              <w:top w:w="60" w:type="dxa"/>
              <w:bottom w:w="60" w:type="dxa"/>
              <w:start w:w="120" w:type="dxa"/>
              <w:end w:w="120" w:type="dxa"/>
            </w:tcMar>
          </w:tcPr>
          <w:p>
            <w:pPr>
              <w:pStyle w:val="TableText"/>
            </w:pPr>
            <w:r>
              <w:t>electron_finder/truth.py.</w:t>
            </w:r>
          </w:p>
        </w:tc>
      </w:tr>
      <w:tr>
        <w:trPr>
          <w:cantSplit/>
        </w:trPr>
        <w:tc>
          <w:tcPr>
            <w:tcW w:type="dxa" w:w="3760"/>
            <w:vAlign w:val="center"/>
            <w:tcMar>
              <w:top w:w="60" w:type="dxa"/>
              <w:bottom w:w="60" w:type="dxa"/>
              <w:start w:w="120" w:type="dxa"/>
              <w:end w:w="120" w:type="dxa"/>
            </w:tcMar>
          </w:tcPr>
          <w:p>
            <w:pPr>
              <w:pStyle w:val="TableText"/>
            </w:pPr>
            <w:r>
              <w:t>Association or nearest-cluster rules</w:t>
            </w:r>
          </w:p>
        </w:tc>
        <w:tc>
          <w:tcPr>
            <w:tcW w:type="dxa" w:w="5600"/>
            <w:vAlign w:val="center"/>
            <w:tcMar>
              <w:top w:w="60" w:type="dxa"/>
              <w:bottom w:w="60" w:type="dxa"/>
              <w:start w:w="120" w:type="dxa"/>
              <w:end w:w="120" w:type="dxa"/>
            </w:tcMar>
          </w:tcPr>
          <w:p>
            <w:pPr>
              <w:pStyle w:val="TableText"/>
            </w:pPr>
            <w:r>
              <w:t>electron_finder/matching.py.</w:t>
            </w:r>
          </w:p>
        </w:tc>
      </w:tr>
      <w:tr>
        <w:trPr>
          <w:cantSplit/>
        </w:trPr>
        <w:tc>
          <w:tcPr>
            <w:tcW w:type="dxa" w:w="3760"/>
            <w:vAlign w:val="center"/>
            <w:tcMar>
              <w:top w:w="60" w:type="dxa"/>
              <w:bottom w:w="60" w:type="dxa"/>
              <w:start w:w="120" w:type="dxa"/>
              <w:end w:w="120" w:type="dxa"/>
            </w:tcMar>
          </w:tcPr>
          <w:p>
            <w:pPr>
              <w:pStyle w:val="TableText"/>
            </w:pPr>
            <w:r>
              <w:t>Event processing and selection counts</w:t>
            </w:r>
          </w:p>
        </w:tc>
        <w:tc>
          <w:tcPr>
            <w:tcW w:type="dxa" w:w="5600"/>
            <w:vAlign w:val="center"/>
            <w:tcMar>
              <w:top w:w="60" w:type="dxa"/>
              <w:bottom w:w="60" w:type="dxa"/>
              <w:start w:w="120" w:type="dxa"/>
              <w:end w:w="120" w:type="dxa"/>
            </w:tcMar>
          </w:tcPr>
          <w:p>
            <w:pPr>
              <w:pStyle w:val="TableText"/>
            </w:pPr>
            <w:r>
              <w:t>electron_finder/analysis.py.</w:t>
            </w:r>
          </w:p>
        </w:tc>
      </w:tr>
      <w:tr>
        <w:trPr>
          <w:cantSplit/>
        </w:trPr>
        <w:tc>
          <w:tcPr>
            <w:tcW w:type="dxa" w:w="3760"/>
            <w:vAlign w:val="center"/>
            <w:tcMar>
              <w:top w:w="60" w:type="dxa"/>
              <w:bottom w:w="60" w:type="dxa"/>
              <w:start w:w="120" w:type="dxa"/>
              <w:end w:w="120" w:type="dxa"/>
            </w:tcMar>
          </w:tcPr>
          <w:p>
            <w:pPr>
              <w:pStyle w:val="TableText"/>
            </w:pPr>
            <w:r>
              <w:t>Histogram bins and titles</w:t>
            </w:r>
          </w:p>
        </w:tc>
        <w:tc>
          <w:tcPr>
            <w:tcW w:type="dxa" w:w="5600"/>
            <w:vAlign w:val="center"/>
            <w:tcMar>
              <w:top w:w="60" w:type="dxa"/>
              <w:bottom w:w="60" w:type="dxa"/>
              <w:start w:w="120" w:type="dxa"/>
              <w:end w:w="120" w:type="dxa"/>
            </w:tcMar>
          </w:tcPr>
          <w:p>
            <w:pPr>
              <w:pStyle w:val="TableText"/>
            </w:pPr>
            <w:r>
              <w:t>electron_finder/histograms.py.</w:t>
            </w:r>
          </w:p>
        </w:tc>
      </w:tr>
      <w:tr>
        <w:trPr>
          <w:cantSplit/>
        </w:trPr>
        <w:tc>
          <w:tcPr>
            <w:tcW w:type="dxa" w:w="3760"/>
            <w:vAlign w:val="center"/>
            <w:tcMar>
              <w:top w:w="60" w:type="dxa"/>
              <w:bottom w:w="60" w:type="dxa"/>
              <w:start w:w="120" w:type="dxa"/>
              <w:end w:w="120" w:type="dxa"/>
            </w:tcMar>
          </w:tcPr>
          <w:p>
            <w:pPr>
              <w:pStyle w:val="TableText"/>
            </w:pPr>
            <w:r>
              <w:t>Matching figure style</w:t>
            </w:r>
          </w:p>
        </w:tc>
        <w:tc>
          <w:tcPr>
            <w:tcW w:type="dxa" w:w="5600"/>
            <w:vAlign w:val="center"/>
            <w:tcMar>
              <w:top w:w="60" w:type="dxa"/>
              <w:bottom w:w="60" w:type="dxa"/>
              <w:start w:w="120" w:type="dxa"/>
              <w:end w:w="120" w:type="dxa"/>
            </w:tcMar>
          </w:tcPr>
          <w:p>
            <w:pPr>
              <w:pStyle w:val="TableText"/>
            </w:pPr>
            <w:r>
              <w:t>electron_finder/plotting.py.</w:t>
            </w:r>
          </w:p>
        </w:tc>
      </w:tr>
      <w:tr>
        <w:trPr>
          <w:cantSplit/>
        </w:trPr>
        <w:tc>
          <w:tcPr>
            <w:tcW w:type="dxa" w:w="3760"/>
            <w:vAlign w:val="center"/>
            <w:tcMar>
              <w:top w:w="60" w:type="dxa"/>
              <w:bottom w:w="60" w:type="dxa"/>
              <w:start w:w="120" w:type="dxa"/>
              <w:end w:w="120" w:type="dxa"/>
            </w:tcMar>
          </w:tcPr>
          <w:p>
            <w:pPr>
              <w:pStyle w:val="TableText"/>
            </w:pPr>
            <w:r>
              <w:t>Single-event views and data extraction</w:t>
            </w:r>
          </w:p>
        </w:tc>
        <w:tc>
          <w:tcPr>
            <w:tcW w:type="dxa" w:w="5600"/>
            <w:vAlign w:val="center"/>
            <w:tcMar>
              <w:top w:w="60" w:type="dxa"/>
              <w:bottom w:w="60" w:type="dxa"/>
              <w:start w:w="120" w:type="dxa"/>
              <w:end w:w="120" w:type="dxa"/>
            </w:tcMar>
          </w:tcPr>
          <w:p>
            <w:pPr>
              <w:pStyle w:val="TableText"/>
            </w:pPr>
            <w:r>
              <w:t>electron_finder/diagnostics.py.</w:t>
            </w:r>
          </w:p>
        </w:tc>
      </w:tr>
      <w:tr>
        <w:trPr>
          <w:cantSplit/>
        </w:trPr>
        <w:tc>
          <w:tcPr>
            <w:tcW w:type="dxa" w:w="3760"/>
            <w:vAlign w:val="center"/>
            <w:tcMar>
              <w:top w:w="60" w:type="dxa"/>
              <w:bottom w:w="60" w:type="dxa"/>
              <w:start w:w="120" w:type="dxa"/>
              <w:end w:w="120" w:type="dxa"/>
            </w:tcMar>
          </w:tcPr>
          <w:p>
            <w:pPr>
              <w:pStyle w:val="TableText"/>
            </w:pPr>
            <w:r>
              <w:t>Printed summary or event details</w:t>
            </w:r>
          </w:p>
        </w:tc>
        <w:tc>
          <w:tcPr>
            <w:tcW w:type="dxa" w:w="5600"/>
            <w:vAlign w:val="center"/>
            <w:tcMar>
              <w:top w:w="60" w:type="dxa"/>
              <w:bottom w:w="60" w:type="dxa"/>
              <w:start w:w="120" w:type="dxa"/>
              <w:end w:w="120" w:type="dxa"/>
            </w:tcMar>
          </w:tcPr>
          <w:p>
            <w:pPr>
              <w:pStyle w:val="TableText"/>
            </w:pPr>
            <w:r>
              <w:t>electron_finder/reporting.py.</w:t>
            </w:r>
          </w:p>
        </w:tc>
      </w:tr>
      <w:tr>
        <w:trPr>
          <w:cantSplit/>
        </w:trPr>
        <w:tc>
          <w:tcPr>
            <w:tcW w:type="dxa" w:w="3760"/>
            <w:vAlign w:val="center"/>
            <w:tcMar>
              <w:top w:w="60" w:type="dxa"/>
              <w:bottom w:w="60" w:type="dxa"/>
              <w:start w:w="120" w:type="dxa"/>
              <w:end w:w="120" w:type="dxa"/>
            </w:tcMar>
          </w:tcPr>
          <w:p>
            <w:pPr>
              <w:pStyle w:val="TableText"/>
            </w:pPr>
            <w:r>
              <w:t>Arguments, output bookkeeping or routing</w:t>
            </w:r>
          </w:p>
        </w:tc>
        <w:tc>
          <w:tcPr>
            <w:tcW w:type="dxa" w:w="5600"/>
            <w:vAlign w:val="center"/>
            <w:tcMar>
              <w:top w:w="60" w:type="dxa"/>
              <w:bottom w:w="60" w:type="dxa"/>
              <w:start w:w="120" w:type="dxa"/>
              <w:end w:w="120" w:type="dxa"/>
            </w:tcMar>
          </w:tcPr>
          <w:p>
            <w:pPr>
              <w:pStyle w:val="TableText"/>
            </w:pPr>
            <w:r>
              <w:t>run_analysis.py; the event runner delegates to its display command.</w:t>
            </w:r>
          </w:p>
        </w:tc>
      </w:tr>
    </w:tbl>
    <w:p>
      <w:pPr>
        <w:pStyle w:val="Heading2"/>
      </w:pPr>
      <w:r>
        <w:t>Supporting files and directories</w:t>
      </w:r>
    </w:p>
    <w:p>
      <w:pPr>
        <w:pStyle w:val="Definition"/>
      </w:pPr>
      <w:r>
        <w:rPr>
          <w:b/>
        </w:rPr>
        <w:t xml:space="preserve">README.md and docs/ </w:t>
      </w:r>
      <w:r>
        <w:t>README contains command examples; docs/ holds this directory and script guide.</w:t>
      </w:r>
    </w:p>
    <w:p>
      <w:pPr>
        <w:pStyle w:val="Definition"/>
      </w:pPr>
      <w:r>
        <w:rPr>
          <w:b/>
        </w:rPr>
        <w:t xml:space="preserve">__pycache__/ and .pyc files </w:t>
      </w:r>
      <w:r>
        <w:t>Python-generated import caches. These also appear inside the package and tests.</w:t>
      </w:r>
    </w:p>
    <w:p>
      <w:pPr>
        <w:pStyle w:val="Definition"/>
      </w:pPr>
      <w:r>
        <w:rPr>
          <w:b/>
        </w:rPr>
        <w:t xml:space="preserve">.gitignore </w:t>
      </w:r>
      <w:r>
        <w:t>Ignore patterns for caches, results/ and ROOT files when using Git.</w:t>
      </w:r>
    </w:p>
    <w:p>
      <w:pPr>
        <w:pStyle w:val="Definition"/>
      </w:pPr>
      <w:r>
        <w:rPr>
          <w:b/>
        </w:rPr>
        <w:t xml:space="preserve">.git/, .codex/ and .agents/ </w:t>
      </w:r>
      <w:r>
        <w:t>Metadata or reserved tool directories; they do not contain the physics analysis.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September 3, 2026  |  Page </w:t>
    </w:r>
    <w:fldSimple w:instr="PAGE">
      <w:r>
        <w:t>1</w:t>
      </w:r>
    </w:fldSimple>
    <w:r>
      <w:t xml:space="preserve"> of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ELECTRON FINDER  |  DIRECTORY &amp; SCRIPT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1">
    <w:multiLevelType w:val="singleLevel"/>
    <w:lvl w:ilvl="0">
      <w:start w:val="1"/>
      <w:numFmt w:val="bullet"/>
      <w:lvlText w:val="•"/>
      <w:lvlJc w:val="left"/>
      <w:pPr>
        <w:ind w:left="540" w:hanging="271"/>
        <w:tabs>
          <w:tab w:val="num" w:pos="540"/>
        </w:tabs>
      </w:pPr>
    </w:lvl>
  </w:abstractNum>
  <w:num w:numId="41">
    <w:abstractNumId w:val="41"/>
  </w:num>
  <w:abstractNum w:abstractNumId="42">
    <w:multiLevelType w:val="singleLevel"/>
    <w:lvl w:ilvl="0">
      <w:start w:val="1"/>
      <w:numFmt w:val="decimal"/>
      <w:lvlText w:val="%1."/>
      <w:lvlJc w:val="left"/>
      <w:pPr>
        <w:ind w:left="540" w:hanging="271"/>
        <w:tabs>
          <w:tab w:val="num" w:pos="540"/>
        </w:tabs>
      </w:pPr>
    </w:lvl>
  </w:abstract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20202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Calibri" w:hAnsi="Calibri"/>
      <w:b w:val="0"/>
      <w:color w:val="5B6571"/>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Calibri" w:hAnsi="Calibri"/>
      <w:b w:val="0"/>
      <w:color w:val="5B6571"/>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52" w:lineRule="auto" w:before="360"/>
      <w:contextualSpacing/>
    </w:pPr>
    <w:rPr>
      <w:rFonts w:asciiTheme="majorHAnsi" w:eastAsiaTheme="majorEastAsia" w:hAnsiTheme="majorHAnsi" w:cstheme="majorBidi" w:ascii="Calibri" w:hAnsi="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76" w:lineRule="auto"/>
    </w:pPr>
    <w:rPr>
      <w:rFonts w:asciiTheme="majorHAnsi" w:eastAsiaTheme="majorEastAsia" w:hAnsiTheme="majorHAnsi" w:cstheme="majorBidi" w:ascii="Calibri" w:hAnsi="Calibri"/>
      <w:b w:val="0"/>
      <w:i/>
      <w:iCs/>
      <w:color w:val="5B657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80" w:after="80"/>
    </w:pPr>
    <w:rPr>
      <w:rFonts w:ascii="Calibri" w:hAnsi="Calibri"/>
      <w:b w:val="0"/>
      <w:bCs/>
      <w:color w:val="5B657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widowControl/>
      <w:spacing w:before="0" w:after="40" w:line="264" w:lineRule="auto"/>
    </w:pPr>
    <w:rPr>
      <w:rFonts w:ascii="Calibri" w:hAnsi="Calibri"/>
      <w:b w:val="0"/>
      <w:color w:val="202020"/>
      <w:sz w:val="21"/>
    </w:rPr>
  </w:style>
  <w:style w:type="paragraph" w:customStyle="1" w:styleId="TableHead">
    <w:name w:val="TableHead"/>
    <w:pPr>
      <w:widowControl/>
      <w:spacing w:before="0" w:after="40" w:line="264" w:lineRule="auto"/>
    </w:pPr>
    <w:rPr>
      <w:rFonts w:ascii="Calibri" w:hAnsi="Calibri"/>
      <w:b/>
      <w:color w:val="0B2545"/>
      <w:sz w:val="21"/>
    </w:rPr>
  </w:style>
  <w:style w:type="paragraph" w:customStyle="1" w:styleId="CodeCell">
    <w:name w:val="CodeCell"/>
    <w:pPr>
      <w:widowControl/>
      <w:spacing w:before="0" w:after="40" w:line="264" w:lineRule="auto"/>
    </w:pPr>
    <w:rPr>
      <w:rFonts w:ascii="Consolas" w:hAnsi="Consolas"/>
      <w:b w:val="0"/>
      <w:color w:val="202020"/>
      <w:sz w:val="18"/>
    </w:rPr>
  </w:style>
  <w:style w:type="paragraph" w:customStyle="1" w:styleId="Code">
    <w:name w:val="Code"/>
    <w:pPr>
      <w:widowControl/>
      <w:spacing w:before="0" w:after="120" w:line="264" w:lineRule="auto"/>
    </w:pPr>
    <w:rPr>
      <w:rFonts w:ascii="Consolas" w:hAnsi="Consolas"/>
      <w:b w:val="0"/>
      <w:color w:val="202020"/>
      <w:sz w:val="18"/>
    </w:rPr>
  </w:style>
  <w:style w:type="paragraph" w:customStyle="1" w:styleId="TableCitation">
    <w:name w:val="TableCitation"/>
    <w:pPr>
      <w:widowControl/>
      <w:spacing w:before="80" w:after="80" w:line="264" w:lineRule="auto"/>
    </w:pPr>
    <w:rPr>
      <w:rFonts w:ascii="Calibri" w:hAnsi="Calibri"/>
      <w:b w:val="0"/>
      <w:color w:val="5B6571"/>
      <w:sz w:val="18"/>
    </w:rPr>
  </w:style>
  <w:style w:type="paragraph" w:customStyle="1" w:styleId="Note">
    <w:name w:val="Note"/>
    <w:pPr>
      <w:widowControl/>
      <w:spacing w:before="120" w:after="160" w:line="276" w:lineRule="auto"/>
    </w:pPr>
    <w:rPr>
      <w:rFonts w:ascii="Calibri" w:hAnsi="Calibri"/>
      <w:b w:val="0"/>
      <w:color w:val="1F4D78"/>
      <w:sz w:val="21"/>
    </w:rPr>
  </w:style>
  <w:style w:type="paragraph" w:customStyle="1" w:styleId="Definition">
    <w:name w:val="Definition"/>
    <w:pPr>
      <w:widowControl/>
      <w:spacing w:before="0" w:after="160" w:line="300" w:lineRule="auto"/>
    </w:pPr>
    <w:rPr>
      <w:rFonts w:ascii="Calibri" w:hAnsi="Calibri"/>
      <w:b w:val="0"/>
      <w:color w:val="202020"/>
      <w:sz w:val="22"/>
    </w:rPr>
  </w:style>
  <w:style w:type="paragraph" w:customStyle="1" w:styleId="GuideBullet">
    <w:name w:val="GuideBullet"/>
    <w:pPr>
      <w:widowControl/>
      <w:spacing w:before="0" w:after="80" w:line="300" w:lineRule="auto"/>
      <w:numPr>
        <w:ilvl w:val="0"/>
        <w:numId w:val="41"/>
      </w:numPr>
    </w:pPr>
    <w:rPr>
      <w:rFonts w:ascii="Calibri" w:hAnsi="Calibri"/>
      <w:b w:val="0"/>
      <w:color w:val="202020"/>
      <w:sz w:val="22"/>
    </w:rPr>
  </w:style>
  <w:style w:type="paragraph" w:customStyle="1" w:styleId="GuideNumber">
    <w:name w:val="GuideNumber"/>
    <w:pPr>
      <w:widowControl/>
      <w:spacing w:before="0" w:after="80" w:line="300" w:lineRule="auto"/>
      <w:numPr>
        <w:ilvl w:val="0"/>
        <w:numId w:val="42"/>
      </w:numPr>
    </w:pPr>
    <w:rPr>
      <w:rFonts w:ascii="Calibri" w:hAnsi="Calibri"/>
      <w:b w:val="0"/>
      <w:color w:val="20202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 Finder - Directory and Script Guide</dc:title>
  <dc:subject>Project directories, scripts, inputs, outputs and two-stage workflow</dc:subject>
  <dc:creator>Electron Finder project</dc:creator>
  <cp:keywords>electron finder, ROOT, EIC, Python, directory guide</cp:keywords>
  <dc:description>generated by python-docx</dc:description>
  <cp:lastModifiedBy/>
  <cp:revision>1</cp:revision>
  <dcterms:created xsi:type="dcterms:W3CDTF">2013-12-23T23:15:00Z</dcterms:created>
  <dcterms:modified xsi:type="dcterms:W3CDTF">2013-12-23T23:15:00Z</dcterms:modified>
  <cp:category/>
</cp:coreProperties>
</file>