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6"/>
          <w:szCs w:val="26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26"/>
          <w:szCs w:val="26"/>
          <w:u w:val="none"/>
          <w:shd w:fill="auto" w:val="clear"/>
          <w:vertAlign w:val="baseline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Ignacio Bastian Pinares Escobar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30j0zll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</w:t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con los requerimientos de la organización y estándares de la industria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Implementar soluciones sistémicas integrales para automatizar y optimizar procesos de negocio de acuerdo a las necesidades de la organización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Resolver las vulnerabilidades sistémicas para asegurar que el software construido cumple las normas de seguridad exigidas por la industria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a fin de apoyar la toma de decisiones y la mejora de los procesos de negocio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Resolver situaciones problemáticas utilizando operaciones básicas con números, expresiones algebraicas, razonamiento matemático básico, formas y espacio, de acuerdo a requerimiento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Resolver situaciones problemáticas utilizando elementos de las matemáticas discretas y relaciones funcionales, de acuerdo a requerimientos</w:t>
            </w:r>
          </w:p>
        </w:tc>
        <w:tc>
          <w:tcPr/>
          <w:p w:rsidR="00000000" w:rsidDel="00000000" w:rsidP="00000000" w:rsidRDefault="00000000" w:rsidRPr="00000000" w14:paraId="0000009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Resolver situaciones problemáticas utilizando elementos de la estadística descriptiva, de acuerdo a requerimientos</w:t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9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Comunicar en forma oral o escrita, aplicando herramientas lingüístico-pragmáticas y estrategias de comprensión para la solución de problemas comunicativos en contextos académicos o profesionales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Comunicarse de forma oral y escrita usando el idioma inglés en situaciones socio-laborales a un nivel intermedio, según la Tabla de Competencias TOEIC y CEFR</w:t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Comunicarse usando el idioma inglés en situaciones laborales a un nivel intermedio relacionado con su área de especialización, según la Tabla de Competencias TOEIC y CEFR</w:t>
            </w:r>
          </w:p>
        </w:tc>
        <w:tc>
          <w:tcPr/>
          <w:p w:rsidR="00000000" w:rsidDel="00000000" w:rsidP="00000000" w:rsidRDefault="00000000" w:rsidRPr="00000000" w14:paraId="000000A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B5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Desarrollar la propia habilidad emprendedora, a través de experiencias en el ámbito de la especialidad</w:t>
            </w:r>
          </w:p>
        </w:tc>
        <w:tc>
          <w:tcPr/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B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-673098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81025"/>
                        <a:ext cx="7753350" cy="190500"/>
                        <a:chOff x="1469325" y="3681025"/>
                        <a:chExt cx="7753350" cy="86580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1469325" y="3679975"/>
                          <a:chExt cx="7753375" cy="87175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1469325" y="3679975"/>
                            <a:ext cx="7753375" cy="871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469325" y="368475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SpPr/>
                          <wps:cNvPr id="5" name="Shape 5"/>
                          <wps:spPr>
                            <a:xfrm>
                              <a:off x="0" y="14970"/>
                              <a:ext cx="12250" cy="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160" w:before="0" w:line="258.99999618530273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2"/>
                                    <w:vertAlign w:val="baseline"/>
                                  </w:rPr>
                                  <w:t xml:space="preserve">PAGE    \* MERGEFORMAT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8c8c8c"/>
                                    <w:sz w:val="22"/>
                                    <w:vertAlign w:val="baseline"/>
                                  </w:rPr>
                                  <w:t xml:space="preserve">0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  <wpg:grpSp>
                          <wpg:cNvGrpSpPr/>
                          <wpg:grpSpPr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CnPr/>
                            <wps:spPr>
                              <a:xfrm flipH="1" rot="10800000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fmla="val 50000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CnPr/>
                            <wps:spPr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fmla="val 96778" name="adj1"/>
                                </a:avLst>
                              </a:prstGeom>
                              <a:noFill/>
                              <a:ln cap="flat" cmpd="sng" w="9525">
                                <a:solidFill>
                                  <a:srgbClr val="A5A5A5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-673098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7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C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C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8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bfbfbf" w:space="0" w:sz="4" w:val="single"/>
        <w:left w:color="bfbfbf" w:space="0" w:sz="4" w:val="single"/>
        <w:bottom w:color="bfbfbf" w:space="0" w:sz="4" w:val="single"/>
        <w:right w:color="bfbfbf" w:space="0" w:sz="4" w:val="single"/>
        <w:insideH w:color="bfbfbf" w:space="0" w:sz="4" w:val="single"/>
        <w:insideV w:color="bfbfbf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0C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0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C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C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C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C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9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table" w:styleId="Table1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</w:rPr>
    </w:tblStylePr>
    <w:tblStylePr w:type="firstRow">
      <w:rPr>
        <w:b w:val="1"/>
      </w:r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2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4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  <w:style w:type="table" w:styleId="Table5">
    <w:basedOn w:val="TableNormal"/>
    <w:pPr>
      <w:spacing w:after="0" w:before="40" w:line="240" w:lineRule="auto"/>
      <w:ind w:left="144" w:right="144"/>
      <w:jc w:val="right"/>
    </w:pPr>
    <w:rPr>
      <w:color w:val="595959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vAlign w:val="cente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5FuV0+RVgN2I0RU1XG7f2YKnWA==">CgMxLjAyCGguZ2pkZ3hzMgloLjMwajB6bGw4AHIhMWRHWDUwV2huMXZNZ0t5M0ZsdjYzV3NZcTBRT0FhdlAz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