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1A25FBCE" w:rsidR="004F2A8B" w:rsidRDefault="002271C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271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No. El equipo no logró alcanzar el hito del 50% de avance físico programado a la fecha debido a un desfasaje temporal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hacer la app</w:t>
            </w:r>
            <w:r w:rsidRPr="002271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Sin embargo, esta desviación respondió a una priorización estratégica de arquitectura (</w:t>
            </w:r>
            <w:proofErr w:type="spellStart"/>
            <w:r w:rsidRPr="002271CC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2271CC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-First &amp; Risk-</w:t>
            </w:r>
            <w:proofErr w:type="spellStart"/>
            <w:r w:rsidRPr="002271CC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Driven</w:t>
            </w:r>
            <w:proofErr w:type="spellEnd"/>
            <w:r w:rsidRPr="002271CC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2271CC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Architecture</w:t>
            </w:r>
            <w:proofErr w:type="spellEnd"/>
            <w:r w:rsidRPr="002271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), mediante la cual se concentró el esfuerzo inicial en resolver los componentes de mayor riesgo del sistema: la especificación del DAS v2.5 bajo la norma ISO/IEC/IEEE 42010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</w:t>
            </w:r>
            <w:r w:rsidRPr="002271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los demás documentos que correspondían entregar </w:t>
            </w:r>
          </w:p>
          <w:p w14:paraId="67F9055D" w14:textId="77777777" w:rsidR="002271CC" w:rsidRPr="002271CC" w:rsidRDefault="002271CC" w:rsidP="002271C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271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Facilitadores del Avance</w:t>
            </w:r>
          </w:p>
          <w:p w14:paraId="574FAAA8" w14:textId="77777777" w:rsidR="002271CC" w:rsidRPr="002271CC" w:rsidRDefault="002271CC" w:rsidP="002271CC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271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Especialización por Roles en la EDT: Asignación nominal de responsabilidades entre Jefe de Proyecto, Analista Funcional, </w:t>
            </w:r>
            <w:proofErr w:type="spellStart"/>
            <w:r w:rsidRPr="002271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2271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/DBA, Mobile/UI/UX y QA. </w:t>
            </w:r>
          </w:p>
          <w:p w14:paraId="2652E21F" w14:textId="77777777" w:rsidR="002271CC" w:rsidRPr="002271CC" w:rsidRDefault="002271CC" w:rsidP="002271CC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271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Gobernanza </w:t>
            </w:r>
            <w:proofErr w:type="spellStart"/>
            <w:r w:rsidRPr="002271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Scrumban</w:t>
            </w:r>
            <w:proofErr w:type="spellEnd"/>
            <w:r w:rsidRPr="002271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Stack Maduro: Control visual de flujo en Trello con límites de trabajo en curso (WIP) y desarrollo sobre Django REST Framework y </w:t>
            </w:r>
            <w:proofErr w:type="spellStart"/>
            <w:r w:rsidRPr="002271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React</w:t>
            </w:r>
            <w:proofErr w:type="spellEnd"/>
            <w:r w:rsidRPr="002271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Native/Expo. </w:t>
            </w:r>
          </w:p>
          <w:p w14:paraId="54B9991A" w14:textId="77777777" w:rsidR="002271CC" w:rsidRPr="002271CC" w:rsidRDefault="002271CC" w:rsidP="002271C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271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Dificultades y Soluciones Técnicas</w:t>
            </w:r>
          </w:p>
          <w:p w14:paraId="6F334C1D" w14:textId="77777777" w:rsidR="002271CC" w:rsidRPr="002271CC" w:rsidRDefault="002271CC" w:rsidP="002271CC">
            <w:pPr>
              <w:numPr>
                <w:ilvl w:val="0"/>
                <w:numId w:val="4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271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Costos Elevados en </w:t>
            </w:r>
            <w:proofErr w:type="spellStart"/>
            <w:r w:rsidRPr="002271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 w:rsidRPr="002271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Comerciales de IA:</w:t>
            </w:r>
          </w:p>
          <w:p w14:paraId="1DFBF44A" w14:textId="785BC586" w:rsidR="002271CC" w:rsidRPr="002271CC" w:rsidRDefault="002271CC" w:rsidP="002271CC">
            <w:pPr>
              <w:numPr>
                <w:ilvl w:val="1"/>
                <w:numId w:val="4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271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Solución: Integración de la versión pública de </w:t>
            </w:r>
            <w:proofErr w:type="spellStart"/>
            <w:r w:rsidRPr="002271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Pl@ntNet</w:t>
            </w:r>
            <w:proofErr w:type="spellEnd"/>
            <w:r w:rsidRPr="002271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v2 API mediante un middleware en Django REST con compresión de imágenes JPEG menor a 1 MB (SC-05), garantizando un tiempo de respuesta </w:t>
            </w:r>
            <m:oMath>
              <m:r>
                <w:rPr>
                  <w:rFonts w:ascii="Cambria Math" w:eastAsiaTheme="majorEastAsia" w:hAnsi="Cambria Math"/>
                  <w:color w:val="767171" w:themeColor="background2" w:themeShade="80"/>
                  <w:sz w:val="24"/>
                  <w:szCs w:val="24"/>
                </w:rPr>
                <m:t>t&lt;3</m:t>
              </m:r>
              <m:r>
                <m:rPr>
                  <m:nor/>
                </m:rPr>
                <w:rPr>
                  <w:rFonts w:eastAsiaTheme="majorEastAsia"/>
                  <w:color w:val="767171" w:themeColor="background2" w:themeShade="80"/>
                  <w:sz w:val="24"/>
                  <w:szCs w:val="24"/>
                </w:rPr>
                <m:t> s</m:t>
              </m:r>
            </m:oMath>
            <w:r w:rsidRPr="002271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</w:t>
            </w:r>
          </w:p>
          <w:p w14:paraId="65D7892E" w14:textId="77777777" w:rsidR="002271CC" w:rsidRPr="002271CC" w:rsidRDefault="002271CC" w:rsidP="002271CC">
            <w:pPr>
              <w:numPr>
                <w:ilvl w:val="0"/>
                <w:numId w:val="4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271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Falta de Coordinación y Comunicación Interna:</w:t>
            </w:r>
          </w:p>
          <w:p w14:paraId="18B6A2CC" w14:textId="77777777" w:rsidR="002271CC" w:rsidRPr="002271CC" w:rsidRDefault="002271CC" w:rsidP="002271CC">
            <w:pPr>
              <w:numPr>
                <w:ilvl w:val="1"/>
                <w:numId w:val="4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271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Solución: Asignación nominal e individualizada de cada Historia de Usuario en Trello con fechas límite estrictas y ejecución de reuniones breves de sincronización diaria (</w:t>
            </w:r>
            <w:r w:rsidRPr="002271CC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 xml:space="preserve">Daily </w:t>
            </w:r>
            <w:proofErr w:type="spellStart"/>
            <w:r w:rsidRPr="002271CC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Standups</w:t>
            </w:r>
            <w:proofErr w:type="spellEnd"/>
            <w:r w:rsidRPr="002271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</w:t>
            </w:r>
          </w:p>
          <w:p w14:paraId="486F2F19" w14:textId="77777777" w:rsidR="002271CC" w:rsidRPr="002271CC" w:rsidRDefault="002271C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36937F" w14:textId="40F0EADC" w:rsidR="002271CC" w:rsidRDefault="002271C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271CC">
              <w:rPr>
                <w:rFonts w:ascii="Calibri" w:hAnsi="Calibri"/>
                <w:b/>
                <w:bCs/>
                <w:color w:val="1F4E79" w:themeColor="accent1" w:themeShade="80"/>
              </w:rPr>
              <w:t>Las dificultades técnicas y de coordinación identificadas durante la Fase 2 se han abordado mediante las siguientes acciones de ingeniería y gobernanza</w:t>
            </w:r>
          </w:p>
          <w:p w14:paraId="6BF0AD37" w14:textId="2F3AC4A9" w:rsidR="002271CC" w:rsidRPr="002271CC" w:rsidRDefault="002271CC" w:rsidP="002271CC">
            <w:pPr>
              <w:pStyle w:val="Prrafodelista"/>
              <w:numPr>
                <w:ilvl w:val="0"/>
                <w:numId w:val="43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271CC">
              <w:rPr>
                <w:rFonts w:ascii="Calibri" w:hAnsi="Calibri"/>
                <w:b/>
                <w:bCs/>
                <w:color w:val="1F4E79" w:themeColor="accent1" w:themeShade="80"/>
              </w:rPr>
              <w:t>Desfasaje en el Avance Físico del Cliente Móvil (&lt;50%): Se adoptó la estrategia Desarrollo Guiado por Contratos (</w:t>
            </w:r>
            <w:r w:rsidRPr="002271CC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 xml:space="preserve">Contract-First </w:t>
            </w:r>
            <w:proofErr w:type="spellStart"/>
            <w:r w:rsidRPr="002271CC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Architecture</w:t>
            </w:r>
            <w:proofErr w:type="spellEnd"/>
            <w:r w:rsidRPr="002271C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) basada en especificaciones </w:t>
            </w:r>
            <w:proofErr w:type="spellStart"/>
            <w:r w:rsidRPr="002271CC">
              <w:rPr>
                <w:rFonts w:ascii="Calibri" w:hAnsi="Calibri"/>
                <w:b/>
                <w:bCs/>
                <w:color w:val="1F4E79" w:themeColor="accent1" w:themeShade="80"/>
              </w:rPr>
              <w:t>OpenAPI</w:t>
            </w:r>
            <w:proofErr w:type="spellEnd"/>
            <w:r w:rsidRPr="002271C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3.0. Esto permite maquetar la interfaz móvil en </w:t>
            </w:r>
            <w:proofErr w:type="spellStart"/>
            <w:r w:rsidRPr="002271CC">
              <w:rPr>
                <w:rFonts w:ascii="Calibri" w:hAnsi="Calibri"/>
                <w:b/>
                <w:bCs/>
                <w:color w:val="1F4E79" w:themeColor="accent1" w:themeShade="80"/>
              </w:rPr>
              <w:t>React</w:t>
            </w:r>
            <w:proofErr w:type="spellEnd"/>
            <w:r w:rsidRPr="002271C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Native usando datos simulados (</w:t>
            </w:r>
            <w:r w:rsidRPr="002271CC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 xml:space="preserve">Mock </w:t>
            </w:r>
            <w:proofErr w:type="spellStart"/>
            <w:r w:rsidRPr="002271CC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JSONs</w:t>
            </w:r>
            <w:proofErr w:type="spellEnd"/>
            <w:r w:rsidRPr="002271C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) sin depender de los despliegues del </w:t>
            </w:r>
            <w:proofErr w:type="spellStart"/>
            <w:r w:rsidRPr="002271CC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2271C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. </w:t>
            </w:r>
          </w:p>
          <w:p w14:paraId="0B3201C2" w14:textId="4E719D83" w:rsidR="002271CC" w:rsidRPr="002271CC" w:rsidRDefault="002271CC" w:rsidP="002271CC">
            <w:pPr>
              <w:pStyle w:val="Prrafodelista"/>
              <w:numPr>
                <w:ilvl w:val="0"/>
                <w:numId w:val="43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271CC">
              <w:rPr>
                <w:rFonts w:ascii="Calibri" w:hAnsi="Calibri"/>
                <w:b/>
                <w:bCs/>
                <w:color w:val="1F4E79" w:themeColor="accent1" w:themeShade="80"/>
              </w:rPr>
              <w:t>Dificultades de Coordinación y Comunicación Interna: Se reestructuró el tablero Trello/</w:t>
            </w:r>
            <w:proofErr w:type="spellStart"/>
            <w:r w:rsidRPr="002271CC">
              <w:rPr>
                <w:rFonts w:ascii="Calibri" w:hAnsi="Calibri"/>
                <w:b/>
                <w:bCs/>
                <w:color w:val="1F4E79" w:themeColor="accent1" w:themeShade="80"/>
              </w:rPr>
              <w:t>Scrumban</w:t>
            </w:r>
            <w:proofErr w:type="spellEnd"/>
            <w:r w:rsidRPr="002271C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mediante la asignación nominal e individualizada de Historias de Usuario con fechas límite estrictas y la realización de reuniones breves de sincronización diaria (</w:t>
            </w:r>
            <w:r w:rsidRPr="002271CC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 xml:space="preserve">Daily </w:t>
            </w:r>
            <w:proofErr w:type="spellStart"/>
            <w:r w:rsidRPr="002271CC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Standups</w:t>
            </w:r>
            <w:proofErr w:type="spellEnd"/>
            <w:r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)</w:t>
            </w:r>
          </w:p>
          <w:p w14:paraId="68ADD2D1" w14:textId="77777777" w:rsidR="002271CC" w:rsidRDefault="002271C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6CB33748" w14:textId="77777777" w:rsidR="00F410BF" w:rsidRPr="00F410BF" w:rsidRDefault="00F410BF" w:rsidP="00F410B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410BF">
              <w:rPr>
                <w:rFonts w:ascii="Calibri" w:hAnsi="Calibri"/>
                <w:b/>
                <w:bCs/>
                <w:color w:val="1F4E79" w:themeColor="accent1" w:themeShade="80"/>
              </w:rPr>
              <w:t>Evaluación General:</w:t>
            </w:r>
          </w:p>
          <w:p w14:paraId="325CB985" w14:textId="77777777" w:rsidR="00F410BF" w:rsidRPr="00F410BF" w:rsidRDefault="00F410BF" w:rsidP="00F410B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410B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Evalúo mi desempeño como altamente competente, riguroso y determinante para la viabilidad del proyecto, habiendo asumido la responsabilidad principal de la ingeniería base y la estructuración documental exigida para la aprobación de la asignatura. </w:t>
            </w:r>
          </w:p>
          <w:p w14:paraId="2A46009B" w14:textId="77777777" w:rsidR="00F410BF" w:rsidRPr="00F410BF" w:rsidRDefault="00F410BF" w:rsidP="00F410B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410BF">
              <w:rPr>
                <w:rFonts w:ascii="Calibri" w:hAnsi="Calibri"/>
                <w:b/>
                <w:bCs/>
                <w:color w:val="1F4E79" w:themeColor="accent1" w:themeShade="80"/>
              </w:rPr>
              <w:t>Aspectos Destacados:</w:t>
            </w:r>
          </w:p>
          <w:p w14:paraId="5A91F341" w14:textId="6A56F960" w:rsidR="00F410BF" w:rsidRPr="00F410BF" w:rsidRDefault="00F410BF" w:rsidP="00F410BF">
            <w:pPr>
              <w:numPr>
                <w:ilvl w:val="0"/>
                <w:numId w:val="48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410B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Elaboración Autónoma de la Documentación del Proyecto: Asumí de manera individual la redacción, consolidación y formalización de la mayor parte de la documentación técnica </w:t>
            </w:r>
          </w:p>
          <w:p w14:paraId="2C2DE041" w14:textId="77777777" w:rsidR="00F410BF" w:rsidRPr="00F410BF" w:rsidRDefault="00F410BF" w:rsidP="00F410BF">
            <w:pPr>
              <w:numPr>
                <w:ilvl w:val="0"/>
                <w:numId w:val="48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410BF">
              <w:rPr>
                <w:rFonts w:ascii="Calibri" w:hAnsi="Calibri"/>
                <w:b/>
                <w:bCs/>
                <w:color w:val="1F4E79" w:themeColor="accent1" w:themeShade="80"/>
              </w:rPr>
              <w:t>Diseño de Arquitectura de Software: Especificación formal del Documento de Arquitectura de Software (DAS v2.5) bajo la norma ISO/IEC/IEEE 42010 utilizando el Modelo de Vistas 4+1</w:t>
            </w:r>
          </w:p>
          <w:p w14:paraId="5D99CA8E" w14:textId="56262B5E" w:rsidR="004F2A8B" w:rsidRDefault="00F410B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410BF">
              <w:rPr>
                <w:rFonts w:ascii="Calibri" w:hAnsi="Calibri"/>
                <w:b/>
                <w:bCs/>
                <w:color w:val="1F4E79" w:themeColor="accent1" w:themeShade="80"/>
              </w:rPr>
              <w:t>Comunicación Más Constante y Delegación de Entregables: Mantener un flujo de comunicación diaria (</w:t>
            </w:r>
            <w:r w:rsidRPr="00F410BF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 xml:space="preserve">Daily </w:t>
            </w:r>
            <w:proofErr w:type="spellStart"/>
            <w:r w:rsidRPr="00F410BF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Standups</w:t>
            </w:r>
            <w:proofErr w:type="spellEnd"/>
            <w:r w:rsidRPr="00F410BF">
              <w:rPr>
                <w:rFonts w:ascii="Calibri" w:hAnsi="Calibri"/>
                <w:b/>
                <w:bCs/>
                <w:color w:val="1F4E79" w:themeColor="accent1" w:themeShade="80"/>
              </w:rPr>
              <w:t>) más fluido con el equipo. Esto permitirá delegar de forma más equitativa la redacción de futuros informes escritos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alcanzar con tiempo la finalización correcta del proyecto</w:t>
            </w:r>
            <w:r w:rsidRPr="00F410B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evitando la concentración de la carga documental en una sola persona y asegurando una sincronización continua con la maquetación del cliente móvi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220F077B" w14:textId="7575508D" w:rsidR="002271CC" w:rsidRPr="002271CC" w:rsidRDefault="002271CC" w:rsidP="002271C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 </w:t>
            </w:r>
            <w:r w:rsidRPr="002271CC">
              <w:rPr>
                <w:rFonts w:ascii="Calibri" w:hAnsi="Calibri"/>
                <w:b/>
                <w:bCs/>
                <w:color w:val="1F4E79" w:themeColor="accent1" w:themeShade="80"/>
              </w:rPr>
              <w:t>Inquietud Técnica: Garantizar que el proceso de sincronización transaccional en lote (</w:t>
            </w:r>
            <w:r w:rsidRPr="002271CC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 xml:space="preserve">Batch </w:t>
            </w:r>
            <w:proofErr w:type="spellStart"/>
            <w:r w:rsidRPr="002271CC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Sync</w:t>
            </w:r>
            <w:proofErr w:type="spellEnd"/>
            <w:r w:rsidRPr="002271CC">
              <w:rPr>
                <w:rFonts w:ascii="Calibri" w:hAnsi="Calibri"/>
                <w:b/>
                <w:bCs/>
                <w:color w:val="1F4E79" w:themeColor="accent1" w:themeShade="80"/>
              </w:rPr>
              <w:t>) de la base de datos local SQLite (expo-</w:t>
            </w:r>
            <w:proofErr w:type="spellStart"/>
            <w:r w:rsidRPr="002271CC">
              <w:rPr>
                <w:rFonts w:ascii="Calibri" w:hAnsi="Calibri"/>
                <w:b/>
                <w:bCs/>
                <w:color w:val="1F4E79" w:themeColor="accent1" w:themeShade="80"/>
              </w:rPr>
              <w:t>sqlite</w:t>
            </w:r>
            <w:proofErr w:type="spellEnd"/>
            <w:r w:rsidRPr="002271C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) hacia la nube en PostgreSQL no genere cuellos de botella ni supere los límites de consumo del </w:t>
            </w:r>
            <w:r w:rsidRPr="002271CC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Free Tier</w:t>
            </w:r>
            <w:r w:rsidRPr="002271C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al recuperar la conectividad. </w:t>
            </w:r>
          </w:p>
          <w:p w14:paraId="359EC477" w14:textId="0E6E28B4" w:rsidR="002271CC" w:rsidRPr="002271CC" w:rsidRDefault="002271CC" w:rsidP="002271C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271CC">
              <w:rPr>
                <w:rFonts w:ascii="Calibri" w:hAnsi="Calibri"/>
                <w:b/>
                <w:bCs/>
                <w:color w:val="1F4E79" w:themeColor="accent1" w:themeShade="80"/>
              </w:rPr>
              <w:t>Pregunta para el Docente o Pares:</w:t>
            </w:r>
          </w:p>
          <w:p w14:paraId="26E3C759" w14:textId="53B18CD4" w:rsidR="002271CC" w:rsidRPr="002271CC" w:rsidRDefault="002271CC" w:rsidP="002271C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271CC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 xml:space="preserve">¿Qué estrategias o herramientas de prueba de carga recomiendan integrar en la suite de </w:t>
            </w:r>
            <w:proofErr w:type="spellStart"/>
            <w:r w:rsidRPr="002271CC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PyTest</w:t>
            </w:r>
            <w:proofErr w:type="spellEnd"/>
            <w:r w:rsidRPr="002271CC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 xml:space="preserve"> para simular latencias de red variables (3G/4G inestable) y certificar que la conmutación al </w:t>
            </w:r>
            <w:proofErr w:type="spellStart"/>
            <w:r w:rsidRPr="002271CC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Fallback</w:t>
            </w:r>
            <w:proofErr w:type="spellEnd"/>
            <w:r w:rsidRPr="002271CC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 xml:space="preserve"> Manual (SC-01) responda con precisión antes de sobrepasar el umbral de 3.0 segundos?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47093D1" w14:textId="026A415A" w:rsidR="00F410BF" w:rsidRPr="00F410BF" w:rsidRDefault="00F410BF" w:rsidP="00F410BF">
            <w:pPr>
              <w:jc w:val="both"/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</w:pPr>
            <w:r w:rsidRPr="00F410BF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 xml:space="preserve">Sí, se determinó una redistribución operacional de tareas dentro del tablero </w:t>
            </w:r>
            <w:proofErr w:type="spellStart"/>
            <w:r w:rsidRPr="00F410BF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Scrumban</w:t>
            </w:r>
            <w:proofErr w:type="spellEnd"/>
            <w:r w:rsidRPr="00F410BF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 xml:space="preserve"> para recuperar el porcentaje de avance físico en la aplicación móvil sin alterar la línea base del proyecto (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F4E79" w:themeColor="accent1" w:themeShade="80"/>
                </w:rPr>
                <m:t>18</m:t>
              </m:r>
              <m:r>
                <m:rPr>
                  <m:nor/>
                </m:rPr>
                <w:rPr>
                  <w:rFonts w:ascii="Calibri" w:hAnsi="Calibri"/>
                  <w:b/>
                  <w:bCs/>
                  <w:i/>
                  <w:iCs/>
                  <w:color w:val="1F4E79" w:themeColor="accent1" w:themeShade="80"/>
                </w:rPr>
                <m:t> semanas</m:t>
              </m:r>
            </m:oMath>
            <w:r w:rsidRPr="00F410BF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 xml:space="preserve"> /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F4E79" w:themeColor="accent1" w:themeShade="80"/>
                </w:rPr>
                <m:t>141</m:t>
              </m:r>
              <m:r>
                <m:rPr>
                  <m:nor/>
                </m:rPr>
                <w:rPr>
                  <w:rFonts w:ascii="Calibri" w:hAnsi="Calibri"/>
                  <w:b/>
                  <w:bCs/>
                  <w:i/>
                  <w:iCs/>
                  <w:color w:val="1F4E79" w:themeColor="accent1" w:themeShade="80"/>
                </w:rPr>
                <m:t> días</m:t>
              </m:r>
            </m:oMath>
            <w:r w:rsidRPr="00F410BF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 xml:space="preserve"> /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F4E79" w:themeColor="accent1" w:themeShade="80"/>
                </w:rPr>
                <m:t>862</m:t>
              </m:r>
              <m:r>
                <m:rPr>
                  <m:nor/>
                </m:rPr>
                <w:rPr>
                  <w:rFonts w:ascii="Calibri" w:hAnsi="Calibri"/>
                  <w:b/>
                  <w:bCs/>
                  <w:i/>
                  <w:iCs/>
                  <w:color w:val="1F4E79" w:themeColor="accent1" w:themeShade="80"/>
                </w:rPr>
                <m:t> HH</m:t>
              </m:r>
            </m:oMath>
            <w:r w:rsidRPr="00F410BF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 xml:space="preserve">): </w:t>
            </w:r>
          </w:p>
          <w:p w14:paraId="6DE35D90" w14:textId="77777777" w:rsidR="00F410BF" w:rsidRPr="00F410BF" w:rsidRDefault="00F410BF" w:rsidP="00F410BF">
            <w:pPr>
              <w:pStyle w:val="Prrafodelista"/>
              <w:numPr>
                <w:ilvl w:val="0"/>
                <w:numId w:val="46"/>
              </w:numPr>
              <w:tabs>
                <w:tab w:val="num" w:pos="720"/>
              </w:tabs>
              <w:jc w:val="both"/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</w:pPr>
            <w:r w:rsidRPr="00F410BF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 xml:space="preserve">Redistribución de Maquetación Cliente: La construcción de las pantallas móviles (HU-FLOR-004 Mascota/Rachas y HU-FLOR-014 Catálogo) se dividió entre los desarrolladores del equipo, aprovechando que los contratos JSON </w:t>
            </w:r>
            <w:proofErr w:type="spellStart"/>
            <w:r w:rsidRPr="00F410BF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OpenAPI</w:t>
            </w:r>
            <w:proofErr w:type="spellEnd"/>
            <w:r w:rsidRPr="00F410BF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 xml:space="preserve"> 3.0 ya están definidos. </w:t>
            </w:r>
          </w:p>
          <w:p w14:paraId="468956B2" w14:textId="77777777" w:rsidR="00F410BF" w:rsidRPr="00F410BF" w:rsidRDefault="00F410BF" w:rsidP="00F410BF">
            <w:pPr>
              <w:tabs>
                <w:tab w:val="num" w:pos="720"/>
              </w:tabs>
              <w:jc w:val="both"/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</w:pPr>
            <w:r w:rsidRPr="00F410BF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Nuevas Actividades Asignadas:</w:t>
            </w:r>
          </w:p>
          <w:p w14:paraId="1DCFCE65" w14:textId="77777777" w:rsidR="00F410BF" w:rsidRPr="00F410BF" w:rsidRDefault="00F410BF" w:rsidP="00F410BF">
            <w:pPr>
              <w:pStyle w:val="Prrafodelista"/>
              <w:numPr>
                <w:ilvl w:val="0"/>
                <w:numId w:val="46"/>
              </w:numPr>
              <w:tabs>
                <w:tab w:val="num" w:pos="1440"/>
              </w:tabs>
              <w:jc w:val="both"/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</w:pPr>
            <w:r w:rsidRPr="00F410BF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 xml:space="preserve">Módulo de </w:t>
            </w:r>
            <w:proofErr w:type="spellStart"/>
            <w:r w:rsidRPr="00F410BF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Mocks</w:t>
            </w:r>
            <w:proofErr w:type="spellEnd"/>
            <w:r w:rsidRPr="00F410BF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 xml:space="preserve"> y </w:t>
            </w:r>
            <w:proofErr w:type="spellStart"/>
            <w:r w:rsidRPr="00F410BF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Caching</w:t>
            </w:r>
            <w:proofErr w:type="spellEnd"/>
            <w:r w:rsidRPr="00F410BF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 xml:space="preserve"> Local: Asignación explícita para configurar la persistencia SQLite en el cliente </w:t>
            </w:r>
            <w:proofErr w:type="spellStart"/>
            <w:r w:rsidRPr="00F410BF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React</w:t>
            </w:r>
            <w:proofErr w:type="spellEnd"/>
            <w:r w:rsidRPr="00F410BF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 xml:space="preserve"> Native (HU-FLOR-013). </w:t>
            </w:r>
          </w:p>
          <w:p w14:paraId="482DC977" w14:textId="77777777" w:rsidR="00F410BF" w:rsidRPr="00F410BF" w:rsidRDefault="00F410BF" w:rsidP="00F410BF">
            <w:pPr>
              <w:pStyle w:val="Prrafodelista"/>
              <w:numPr>
                <w:ilvl w:val="0"/>
                <w:numId w:val="46"/>
              </w:numPr>
              <w:tabs>
                <w:tab w:val="num" w:pos="1440"/>
              </w:tabs>
              <w:jc w:val="both"/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</w:pPr>
            <w:r w:rsidRPr="00F410BF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Notificaciones Locales Programadas: Configuración del motor expo-</w:t>
            </w:r>
            <w:proofErr w:type="spellStart"/>
            <w:r w:rsidRPr="00F410BF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notifications</w:t>
            </w:r>
            <w:proofErr w:type="spellEnd"/>
            <w:r w:rsidRPr="00F410BF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 xml:space="preserve"> desacoplado de servidores externos para asegurar recordatorios fuera de línea (HU-FLOR-015).</w:t>
            </w:r>
          </w:p>
          <w:p w14:paraId="0C5F9ED3" w14:textId="77777777" w:rsidR="004F2A8B" w:rsidRPr="00F410BF" w:rsidRDefault="004F2A8B" w:rsidP="3D28A338">
            <w:pPr>
              <w:jc w:val="both"/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AE0E0F3" w14:textId="0372CEEF" w:rsidR="00F410BF" w:rsidRPr="00F410BF" w:rsidRDefault="00F410BF" w:rsidP="00F410BF">
            <w:pPr>
              <w:jc w:val="both"/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</w:pPr>
            <w:r w:rsidRPr="00F410BF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 xml:space="preserve">Evaluación del Trabajo en Grupo: El desempeño del equipo se evalúa como de menos a más, alcanzando una etapa de madurez técnica y alineación metodológica tras superar los desacoples iniciales. </w:t>
            </w:r>
          </w:p>
          <w:p w14:paraId="2022D50C" w14:textId="0B64DA77" w:rsidR="00F410BF" w:rsidRPr="00F410BF" w:rsidRDefault="00F410BF" w:rsidP="00F410BF">
            <w:pPr>
              <w:jc w:val="both"/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</w:pPr>
            <w:r w:rsidRPr="00F410BF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 xml:space="preserve"> Aspectos Positivos Destacados:</w:t>
            </w:r>
          </w:p>
          <w:p w14:paraId="7353F01E" w14:textId="77777777" w:rsidR="00F410BF" w:rsidRPr="00F410BF" w:rsidRDefault="00F410BF" w:rsidP="00F410BF">
            <w:pPr>
              <w:pStyle w:val="Prrafodelista"/>
              <w:numPr>
                <w:ilvl w:val="0"/>
                <w:numId w:val="46"/>
              </w:numPr>
              <w:tabs>
                <w:tab w:val="num" w:pos="1440"/>
              </w:tabs>
              <w:jc w:val="both"/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</w:pPr>
            <w:r w:rsidRPr="00F410BF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 xml:space="preserve">Especialización Complementaria de Roles: Excelente distribución de tareas según la EDT entre </w:t>
            </w:r>
            <w:proofErr w:type="spellStart"/>
            <w:r w:rsidRPr="00F410BF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Backend</w:t>
            </w:r>
            <w:proofErr w:type="spellEnd"/>
            <w:r w:rsidRPr="00F410BF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 xml:space="preserve">/DBA, Mobile/Seguridad y QA/IA. </w:t>
            </w:r>
          </w:p>
          <w:p w14:paraId="2457C8C1" w14:textId="77777777" w:rsidR="00F410BF" w:rsidRPr="00F410BF" w:rsidRDefault="00F410BF" w:rsidP="00F410BF">
            <w:pPr>
              <w:pStyle w:val="Prrafodelista"/>
              <w:numPr>
                <w:ilvl w:val="0"/>
                <w:numId w:val="46"/>
              </w:numPr>
              <w:tabs>
                <w:tab w:val="num" w:pos="1440"/>
              </w:tabs>
              <w:jc w:val="both"/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</w:pPr>
            <w:r w:rsidRPr="00F410BF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 xml:space="preserve">Capacidad de Adaptación y Resiliencia: Capacidad para tomar decisiones de arquitectura justificadas, como la consolidación de 9 a 5 </w:t>
            </w:r>
            <w:proofErr w:type="spellStart"/>
            <w:r w:rsidRPr="00F410BF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Sprints</w:t>
            </w:r>
            <w:proofErr w:type="spellEnd"/>
            <w:r w:rsidRPr="00F410BF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 xml:space="preserve"> para reducir el sobrecosto de reuniones (</w:t>
            </w:r>
            <w:proofErr w:type="spellStart"/>
            <w:r w:rsidRPr="00F410BF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Ceremony</w:t>
            </w:r>
            <w:proofErr w:type="spellEnd"/>
            <w:r w:rsidRPr="00F410BF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 xml:space="preserve"> </w:t>
            </w:r>
            <w:proofErr w:type="spellStart"/>
            <w:r w:rsidRPr="00F410BF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Overhead</w:t>
            </w:r>
            <w:proofErr w:type="spellEnd"/>
            <w:r w:rsidRPr="00F410BF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 xml:space="preserve">) en un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F4E79" w:themeColor="accent1" w:themeShade="80"/>
                </w:rPr>
                <m:t>18%</m:t>
              </m:r>
            </m:oMath>
            <w:r w:rsidRPr="00F410BF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 xml:space="preserve">, y la sustitución de hardware IoT por fotometría computacional (SC-03). </w:t>
            </w:r>
          </w:p>
          <w:p w14:paraId="1D7474BF" w14:textId="40ECF8CF" w:rsidR="00F410BF" w:rsidRPr="00F410BF" w:rsidRDefault="00F410BF" w:rsidP="00F410BF">
            <w:pPr>
              <w:jc w:val="both"/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</w:pPr>
            <w:r w:rsidRPr="00F410BF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 xml:space="preserve">Aspectos a Mejorar: La fluidez y frecuencia de los canales de comunicación interna para evitar desfases en las entregas entre la capa </w:t>
            </w:r>
            <w:proofErr w:type="spellStart"/>
            <w:r w:rsidRPr="00F410BF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backend</w:t>
            </w:r>
            <w:proofErr w:type="spellEnd"/>
            <w:r w:rsidRPr="00F410BF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 xml:space="preserve"> y la maquetación visual del cliente móvil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C1330" w14:textId="77777777" w:rsidR="00E5648E" w:rsidRDefault="00E5648E" w:rsidP="00DF38AE">
      <w:pPr>
        <w:spacing w:after="0" w:line="240" w:lineRule="auto"/>
      </w:pPr>
      <w:r>
        <w:separator/>
      </w:r>
    </w:p>
  </w:endnote>
  <w:endnote w:type="continuationSeparator" w:id="0">
    <w:p w14:paraId="14E550FC" w14:textId="77777777" w:rsidR="00E5648E" w:rsidRDefault="00E5648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2080F" w14:textId="77777777" w:rsidR="00E5648E" w:rsidRDefault="00E5648E" w:rsidP="00DF38AE">
      <w:pPr>
        <w:spacing w:after="0" w:line="240" w:lineRule="auto"/>
      </w:pPr>
      <w:r>
        <w:separator/>
      </w:r>
    </w:p>
  </w:footnote>
  <w:footnote w:type="continuationSeparator" w:id="0">
    <w:p w14:paraId="1624C622" w14:textId="77777777" w:rsidR="00E5648E" w:rsidRDefault="00E5648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7445D"/>
    <w:multiLevelType w:val="multilevel"/>
    <w:tmpl w:val="B27A8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A5E86"/>
    <w:multiLevelType w:val="multilevel"/>
    <w:tmpl w:val="1D4C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EE581D"/>
    <w:multiLevelType w:val="hybridMultilevel"/>
    <w:tmpl w:val="3F62F8C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1B119AB"/>
    <w:multiLevelType w:val="hybridMultilevel"/>
    <w:tmpl w:val="D3C0E77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7E0E26"/>
    <w:multiLevelType w:val="multilevel"/>
    <w:tmpl w:val="E3FC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8036D1"/>
    <w:multiLevelType w:val="multilevel"/>
    <w:tmpl w:val="42D6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939197E"/>
    <w:multiLevelType w:val="multilevel"/>
    <w:tmpl w:val="6FF4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8C0BE5"/>
    <w:multiLevelType w:val="multilevel"/>
    <w:tmpl w:val="2186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908872">
    <w:abstractNumId w:val="4"/>
  </w:num>
  <w:num w:numId="2" w16cid:durableId="1175655441">
    <w:abstractNumId w:val="11"/>
  </w:num>
  <w:num w:numId="3" w16cid:durableId="195385944">
    <w:abstractNumId w:val="15"/>
  </w:num>
  <w:num w:numId="4" w16cid:durableId="771167854">
    <w:abstractNumId w:val="35"/>
  </w:num>
  <w:num w:numId="5" w16cid:durableId="1144273324">
    <w:abstractNumId w:val="37"/>
  </w:num>
  <w:num w:numId="6" w16cid:durableId="408308908">
    <w:abstractNumId w:val="6"/>
  </w:num>
  <w:num w:numId="7" w16cid:durableId="1781608401">
    <w:abstractNumId w:val="14"/>
  </w:num>
  <w:num w:numId="8" w16cid:durableId="162210812">
    <w:abstractNumId w:val="23"/>
  </w:num>
  <w:num w:numId="9" w16cid:durableId="282002796">
    <w:abstractNumId w:val="18"/>
  </w:num>
  <w:num w:numId="10" w16cid:durableId="1589776430">
    <w:abstractNumId w:val="12"/>
  </w:num>
  <w:num w:numId="11" w16cid:durableId="890459038">
    <w:abstractNumId w:val="30"/>
  </w:num>
  <w:num w:numId="12" w16cid:durableId="1729764375">
    <w:abstractNumId w:val="43"/>
  </w:num>
  <w:num w:numId="13" w16cid:durableId="71510370">
    <w:abstractNumId w:val="36"/>
  </w:num>
  <w:num w:numId="14" w16cid:durableId="959342102">
    <w:abstractNumId w:val="1"/>
  </w:num>
  <w:num w:numId="15" w16cid:durableId="1880698264">
    <w:abstractNumId w:val="44"/>
  </w:num>
  <w:num w:numId="16" w16cid:durableId="1087462919">
    <w:abstractNumId w:val="25"/>
  </w:num>
  <w:num w:numId="17" w16cid:durableId="371812819">
    <w:abstractNumId w:val="21"/>
  </w:num>
  <w:num w:numId="18" w16cid:durableId="635183502">
    <w:abstractNumId w:val="38"/>
  </w:num>
  <w:num w:numId="19" w16cid:durableId="746994100">
    <w:abstractNumId w:val="13"/>
  </w:num>
  <w:num w:numId="20" w16cid:durableId="506092324">
    <w:abstractNumId w:val="47"/>
  </w:num>
  <w:num w:numId="21" w16cid:durableId="1264725589">
    <w:abstractNumId w:val="42"/>
  </w:num>
  <w:num w:numId="22" w16cid:durableId="2118208673">
    <w:abstractNumId w:val="16"/>
  </w:num>
  <w:num w:numId="23" w16cid:durableId="1364748032">
    <w:abstractNumId w:val="17"/>
  </w:num>
  <w:num w:numId="24" w16cid:durableId="925765622">
    <w:abstractNumId w:val="8"/>
  </w:num>
  <w:num w:numId="25" w16cid:durableId="1125467943">
    <w:abstractNumId w:val="20"/>
  </w:num>
  <w:num w:numId="26" w16cid:durableId="1647585199">
    <w:abstractNumId w:val="24"/>
  </w:num>
  <w:num w:numId="27" w16cid:durableId="1941374554">
    <w:abstractNumId w:val="29"/>
  </w:num>
  <w:num w:numId="28" w16cid:durableId="1707832187">
    <w:abstractNumId w:val="0"/>
  </w:num>
  <w:num w:numId="29" w16cid:durableId="1867596585">
    <w:abstractNumId w:val="22"/>
  </w:num>
  <w:num w:numId="30" w16cid:durableId="1653176054">
    <w:abstractNumId w:val="28"/>
  </w:num>
  <w:num w:numId="31" w16cid:durableId="404954073">
    <w:abstractNumId w:val="3"/>
  </w:num>
  <w:num w:numId="32" w16cid:durableId="1646474106">
    <w:abstractNumId w:val="10"/>
  </w:num>
  <w:num w:numId="33" w16cid:durableId="263417595">
    <w:abstractNumId w:val="40"/>
  </w:num>
  <w:num w:numId="34" w16cid:durableId="1265504884">
    <w:abstractNumId w:val="46"/>
  </w:num>
  <w:num w:numId="35" w16cid:durableId="716055330">
    <w:abstractNumId w:val="9"/>
  </w:num>
  <w:num w:numId="36" w16cid:durableId="62073125">
    <w:abstractNumId w:val="32"/>
  </w:num>
  <w:num w:numId="37" w16cid:durableId="657346943">
    <w:abstractNumId w:val="45"/>
  </w:num>
  <w:num w:numId="38" w16cid:durableId="1870727852">
    <w:abstractNumId w:val="34"/>
  </w:num>
  <w:num w:numId="39" w16cid:durableId="358505944">
    <w:abstractNumId w:val="33"/>
  </w:num>
  <w:num w:numId="40" w16cid:durableId="22025766">
    <w:abstractNumId w:val="41"/>
  </w:num>
  <w:num w:numId="41" w16cid:durableId="1540900791">
    <w:abstractNumId w:val="31"/>
  </w:num>
  <w:num w:numId="42" w16cid:durableId="985403162">
    <w:abstractNumId w:val="2"/>
  </w:num>
  <w:num w:numId="43" w16cid:durableId="541092802">
    <w:abstractNumId w:val="19"/>
  </w:num>
  <w:num w:numId="44" w16cid:durableId="1914701540">
    <w:abstractNumId w:val="27"/>
  </w:num>
  <w:num w:numId="45" w16cid:durableId="1218854945">
    <w:abstractNumId w:val="26"/>
  </w:num>
  <w:num w:numId="46" w16cid:durableId="75592078">
    <w:abstractNumId w:val="7"/>
  </w:num>
  <w:num w:numId="47" w16cid:durableId="375618877">
    <w:abstractNumId w:val="39"/>
  </w:num>
  <w:num w:numId="48" w16cid:durableId="540560325">
    <w:abstractNumId w:val="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271CC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648E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0B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5AF6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1069</Words>
  <Characters>5885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JOSE . DELGADO ESCOBAR</cp:lastModifiedBy>
  <cp:revision>43</cp:revision>
  <cp:lastPrinted>2019-12-16T20:10:00Z</cp:lastPrinted>
  <dcterms:created xsi:type="dcterms:W3CDTF">2021-12-31T12:50:00Z</dcterms:created>
  <dcterms:modified xsi:type="dcterms:W3CDTF">2026-10-18T23:13:00Z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