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A25FBCE" w:rsidR="004F2A8B" w:rsidRDefault="002271CC" w:rsidP="3D28A338">
            <w:p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No. El equipo no logró alcanzar el hito del 50% de avance físico programado a la fecha debido a un desfasaje temporal</w:t>
            </w:r>
            <w:r>
              <w:rPr>
                <w:rFonts w:eastAsiaTheme="majorEastAsia"/>
                <w:color w:val="767171" w:themeColor="background2" w:themeShade="80"/>
                <w:sz w:val="24"/>
                <w:szCs w:val="24"/>
              </w:rPr>
              <w:t xml:space="preserve"> para hacer la app</w:t>
            </w:r>
            <w:r w:rsidRPr="002271CC">
              <w:rPr>
                <w:rFonts w:eastAsiaTheme="majorEastAsia"/>
                <w:color w:val="767171" w:themeColor="background2" w:themeShade="80"/>
                <w:sz w:val="24"/>
                <w:szCs w:val="24"/>
              </w:rPr>
              <w:t>. Sin embargo, esta desviación respondió a una priorización estratégica de arquitectura (</w:t>
            </w:r>
            <w:proofErr w:type="spellStart"/>
            <w:r w:rsidRPr="002271CC">
              <w:rPr>
                <w:rFonts w:eastAsiaTheme="majorEastAsia"/>
                <w:i/>
                <w:iCs/>
                <w:color w:val="767171" w:themeColor="background2" w:themeShade="80"/>
                <w:sz w:val="24"/>
                <w:szCs w:val="24"/>
              </w:rPr>
              <w:t>Backend</w:t>
            </w:r>
            <w:proofErr w:type="spellEnd"/>
            <w:r w:rsidRPr="002271CC">
              <w:rPr>
                <w:rFonts w:eastAsiaTheme="majorEastAsia"/>
                <w:i/>
                <w:iCs/>
                <w:color w:val="767171" w:themeColor="background2" w:themeShade="80"/>
                <w:sz w:val="24"/>
                <w:szCs w:val="24"/>
              </w:rPr>
              <w:t>-First &amp; Risk-</w:t>
            </w:r>
            <w:proofErr w:type="spellStart"/>
            <w:r w:rsidRPr="002271CC">
              <w:rPr>
                <w:rFonts w:eastAsiaTheme="majorEastAsia"/>
                <w:i/>
                <w:iCs/>
                <w:color w:val="767171" w:themeColor="background2" w:themeShade="80"/>
                <w:sz w:val="24"/>
                <w:szCs w:val="24"/>
              </w:rPr>
              <w:t>Driven</w:t>
            </w:r>
            <w:proofErr w:type="spellEnd"/>
            <w:r w:rsidRPr="002271CC">
              <w:rPr>
                <w:rFonts w:eastAsiaTheme="majorEastAsia"/>
                <w:i/>
                <w:iCs/>
                <w:color w:val="767171" w:themeColor="background2" w:themeShade="80"/>
                <w:sz w:val="24"/>
                <w:szCs w:val="24"/>
              </w:rPr>
              <w:t xml:space="preserve"> </w:t>
            </w:r>
            <w:proofErr w:type="spellStart"/>
            <w:r w:rsidRPr="002271CC">
              <w:rPr>
                <w:rFonts w:eastAsiaTheme="majorEastAsia"/>
                <w:i/>
                <w:iCs/>
                <w:color w:val="767171" w:themeColor="background2" w:themeShade="80"/>
                <w:sz w:val="24"/>
                <w:szCs w:val="24"/>
              </w:rPr>
              <w:t>Architecture</w:t>
            </w:r>
            <w:proofErr w:type="spellEnd"/>
            <w:r w:rsidRPr="002271CC">
              <w:rPr>
                <w:rFonts w:eastAsiaTheme="majorEastAsia"/>
                <w:color w:val="767171" w:themeColor="background2" w:themeShade="80"/>
                <w:sz w:val="24"/>
                <w:szCs w:val="24"/>
              </w:rPr>
              <w:t>), mediante la cual se concentró el esfuerzo inicial en resolver los componentes de mayor riesgo del sistema: la especificación del DAS v2.5 bajo la norma ISO/IEC/IEEE 42010</w:t>
            </w:r>
            <w:r>
              <w:rPr>
                <w:rFonts w:eastAsiaTheme="majorEastAsia"/>
                <w:color w:val="767171" w:themeColor="background2" w:themeShade="80"/>
                <w:sz w:val="24"/>
                <w:szCs w:val="24"/>
              </w:rPr>
              <w:t xml:space="preserve"> y</w:t>
            </w:r>
            <w:r w:rsidRPr="002271CC">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los demás documentos que correspondían entregar </w:t>
            </w:r>
          </w:p>
          <w:p w14:paraId="67F9055D" w14:textId="77777777" w:rsidR="002271CC" w:rsidRPr="002271CC" w:rsidRDefault="002271CC" w:rsidP="002271CC">
            <w:p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Facilitadores del Avance</w:t>
            </w:r>
          </w:p>
          <w:p w14:paraId="574FAAA8" w14:textId="77777777" w:rsidR="002271CC" w:rsidRPr="002271CC" w:rsidRDefault="002271CC" w:rsidP="002271CC">
            <w:pPr>
              <w:numPr>
                <w:ilvl w:val="0"/>
                <w:numId w:val="41"/>
              </w:num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 xml:space="preserve">Especialización por Roles en la EDT: Asignación nominal de responsabilidades entre Jefe de Proyecto, Analista Funcional, </w:t>
            </w:r>
            <w:proofErr w:type="spellStart"/>
            <w:r w:rsidRPr="002271CC">
              <w:rPr>
                <w:rFonts w:eastAsiaTheme="majorEastAsia"/>
                <w:color w:val="767171" w:themeColor="background2" w:themeShade="80"/>
                <w:sz w:val="24"/>
                <w:szCs w:val="24"/>
              </w:rPr>
              <w:t>Backend</w:t>
            </w:r>
            <w:proofErr w:type="spellEnd"/>
            <w:r w:rsidRPr="002271CC">
              <w:rPr>
                <w:rFonts w:eastAsiaTheme="majorEastAsia"/>
                <w:color w:val="767171" w:themeColor="background2" w:themeShade="80"/>
                <w:sz w:val="24"/>
                <w:szCs w:val="24"/>
              </w:rPr>
              <w:t xml:space="preserve">/DBA, Mobile/UI/UX y QA. </w:t>
            </w:r>
          </w:p>
          <w:p w14:paraId="2652E21F" w14:textId="77777777" w:rsidR="002271CC" w:rsidRPr="002271CC" w:rsidRDefault="002271CC" w:rsidP="002271CC">
            <w:pPr>
              <w:numPr>
                <w:ilvl w:val="0"/>
                <w:numId w:val="41"/>
              </w:num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 xml:space="preserve">Gobernanza </w:t>
            </w:r>
            <w:proofErr w:type="spellStart"/>
            <w:r w:rsidRPr="002271CC">
              <w:rPr>
                <w:rFonts w:eastAsiaTheme="majorEastAsia"/>
                <w:color w:val="767171" w:themeColor="background2" w:themeShade="80"/>
                <w:sz w:val="24"/>
                <w:szCs w:val="24"/>
              </w:rPr>
              <w:t>Scrumban</w:t>
            </w:r>
            <w:proofErr w:type="spellEnd"/>
            <w:r w:rsidRPr="002271CC">
              <w:rPr>
                <w:rFonts w:eastAsiaTheme="majorEastAsia"/>
                <w:color w:val="767171" w:themeColor="background2" w:themeShade="80"/>
                <w:sz w:val="24"/>
                <w:szCs w:val="24"/>
              </w:rPr>
              <w:t xml:space="preserve"> y Stack Maduro: Control visual de flujo en Trello con límites de trabajo en curso (WIP) y desarrollo sobre Django REST Framework y </w:t>
            </w:r>
            <w:proofErr w:type="spellStart"/>
            <w:r w:rsidRPr="002271CC">
              <w:rPr>
                <w:rFonts w:eastAsiaTheme="majorEastAsia"/>
                <w:color w:val="767171" w:themeColor="background2" w:themeShade="80"/>
                <w:sz w:val="24"/>
                <w:szCs w:val="24"/>
              </w:rPr>
              <w:t>React</w:t>
            </w:r>
            <w:proofErr w:type="spellEnd"/>
            <w:r w:rsidRPr="002271CC">
              <w:rPr>
                <w:rFonts w:eastAsiaTheme="majorEastAsia"/>
                <w:color w:val="767171" w:themeColor="background2" w:themeShade="80"/>
                <w:sz w:val="24"/>
                <w:szCs w:val="24"/>
              </w:rPr>
              <w:t xml:space="preserve"> Native/Expo. </w:t>
            </w:r>
          </w:p>
          <w:p w14:paraId="54B9991A" w14:textId="77777777" w:rsidR="002271CC" w:rsidRPr="002271CC" w:rsidRDefault="002271CC" w:rsidP="002271CC">
            <w:p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Dificultades y Soluciones Técnicas</w:t>
            </w:r>
          </w:p>
          <w:p w14:paraId="6F334C1D" w14:textId="77777777" w:rsidR="002271CC" w:rsidRPr="002271CC" w:rsidRDefault="002271CC" w:rsidP="002271CC">
            <w:pPr>
              <w:numPr>
                <w:ilvl w:val="0"/>
                <w:numId w:val="42"/>
              </w:num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 xml:space="preserve">Costos Elevados en </w:t>
            </w:r>
            <w:proofErr w:type="spellStart"/>
            <w:r w:rsidRPr="002271CC">
              <w:rPr>
                <w:rFonts w:eastAsiaTheme="majorEastAsia"/>
                <w:color w:val="767171" w:themeColor="background2" w:themeShade="80"/>
                <w:sz w:val="24"/>
                <w:szCs w:val="24"/>
              </w:rPr>
              <w:t>APIs</w:t>
            </w:r>
            <w:proofErr w:type="spellEnd"/>
            <w:r w:rsidRPr="002271CC">
              <w:rPr>
                <w:rFonts w:eastAsiaTheme="majorEastAsia"/>
                <w:color w:val="767171" w:themeColor="background2" w:themeShade="80"/>
                <w:sz w:val="24"/>
                <w:szCs w:val="24"/>
              </w:rPr>
              <w:t xml:space="preserve"> Comerciales de IA:</w:t>
            </w:r>
          </w:p>
          <w:p w14:paraId="1DFBF44A" w14:textId="785BC586" w:rsidR="002271CC" w:rsidRPr="002271CC" w:rsidRDefault="002271CC" w:rsidP="002271CC">
            <w:pPr>
              <w:numPr>
                <w:ilvl w:val="1"/>
                <w:numId w:val="42"/>
              </w:num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 xml:space="preserve">Solución: Integración de la versión pública de </w:t>
            </w:r>
            <w:proofErr w:type="spellStart"/>
            <w:r w:rsidRPr="002271CC">
              <w:rPr>
                <w:rFonts w:eastAsiaTheme="majorEastAsia"/>
                <w:color w:val="767171" w:themeColor="background2" w:themeShade="80"/>
                <w:sz w:val="24"/>
                <w:szCs w:val="24"/>
              </w:rPr>
              <w:t>Pl@ntNet</w:t>
            </w:r>
            <w:proofErr w:type="spellEnd"/>
            <w:r w:rsidRPr="002271CC">
              <w:rPr>
                <w:rFonts w:eastAsiaTheme="majorEastAsia"/>
                <w:color w:val="767171" w:themeColor="background2" w:themeShade="80"/>
                <w:sz w:val="24"/>
                <w:szCs w:val="24"/>
              </w:rPr>
              <w:t xml:space="preserve"> v2 API mediante un middleware en Django REST con compresión de imágenes JPEG menor a 1 MB (SC-05), garantizando un tiempo de respuesta </w:t>
            </w:r>
            <m:oMath>
              <m:r>
                <w:rPr>
                  <w:rFonts w:ascii="Cambria Math" w:eastAsiaTheme="majorEastAsia" w:hAnsi="Cambria Math"/>
                  <w:color w:val="767171" w:themeColor="background2" w:themeShade="80"/>
                  <w:sz w:val="24"/>
                  <w:szCs w:val="24"/>
                </w:rPr>
                <m:t>t&lt;3</m:t>
              </m:r>
              <m:r>
                <m:rPr>
                  <m:nor/>
                </m:rPr>
                <w:rPr>
                  <w:rFonts w:eastAsiaTheme="majorEastAsia"/>
                  <w:color w:val="767171" w:themeColor="background2" w:themeShade="80"/>
                  <w:sz w:val="24"/>
                  <w:szCs w:val="24"/>
                </w:rPr>
                <m:t> s</m:t>
              </m:r>
            </m:oMath>
            <w:r w:rsidRPr="002271CC">
              <w:rPr>
                <w:rFonts w:eastAsiaTheme="majorEastAsia"/>
                <w:color w:val="767171" w:themeColor="background2" w:themeShade="80"/>
                <w:sz w:val="24"/>
                <w:szCs w:val="24"/>
              </w:rPr>
              <w:t xml:space="preserve">. </w:t>
            </w:r>
          </w:p>
          <w:p w14:paraId="65D7892E" w14:textId="77777777" w:rsidR="002271CC" w:rsidRPr="002271CC" w:rsidRDefault="002271CC" w:rsidP="002271CC">
            <w:pPr>
              <w:numPr>
                <w:ilvl w:val="0"/>
                <w:numId w:val="42"/>
              </w:num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Falta de Coordinación y Comunicación Interna:</w:t>
            </w:r>
          </w:p>
          <w:p w14:paraId="18B6A2CC" w14:textId="77777777" w:rsidR="002271CC" w:rsidRPr="002271CC" w:rsidRDefault="002271CC" w:rsidP="002271CC">
            <w:pPr>
              <w:numPr>
                <w:ilvl w:val="1"/>
                <w:numId w:val="42"/>
              </w:numPr>
              <w:jc w:val="both"/>
              <w:rPr>
                <w:rFonts w:eastAsiaTheme="majorEastAsia"/>
                <w:color w:val="767171" w:themeColor="background2" w:themeShade="80"/>
                <w:sz w:val="24"/>
                <w:szCs w:val="24"/>
              </w:rPr>
            </w:pPr>
            <w:r w:rsidRPr="002271CC">
              <w:rPr>
                <w:rFonts w:eastAsiaTheme="majorEastAsia"/>
                <w:color w:val="767171" w:themeColor="background2" w:themeShade="80"/>
                <w:sz w:val="24"/>
                <w:szCs w:val="24"/>
              </w:rPr>
              <w:t>Solución: Asignación nominal e individualizada de cada Historia de Usuario en Trello con fechas límite estrictas y ejecución de reuniones breves de sincronización diaria (</w:t>
            </w:r>
            <w:r w:rsidRPr="002271CC">
              <w:rPr>
                <w:rFonts w:eastAsiaTheme="majorEastAsia"/>
                <w:i/>
                <w:iCs/>
                <w:color w:val="767171" w:themeColor="background2" w:themeShade="80"/>
                <w:sz w:val="24"/>
                <w:szCs w:val="24"/>
              </w:rPr>
              <w:t xml:space="preserve">Daily </w:t>
            </w:r>
            <w:proofErr w:type="spellStart"/>
            <w:r w:rsidRPr="002271CC">
              <w:rPr>
                <w:rFonts w:eastAsiaTheme="majorEastAsia"/>
                <w:i/>
                <w:iCs/>
                <w:color w:val="767171" w:themeColor="background2" w:themeShade="80"/>
                <w:sz w:val="24"/>
                <w:szCs w:val="24"/>
              </w:rPr>
              <w:t>Standups</w:t>
            </w:r>
            <w:proofErr w:type="spellEnd"/>
            <w:r w:rsidRPr="002271CC">
              <w:rPr>
                <w:rFonts w:eastAsiaTheme="majorEastAsia"/>
                <w:color w:val="767171" w:themeColor="background2" w:themeShade="80"/>
                <w:sz w:val="24"/>
                <w:szCs w:val="24"/>
              </w:rPr>
              <w:t>)</w:t>
            </w:r>
          </w:p>
          <w:p w14:paraId="486F2F19" w14:textId="77777777" w:rsidR="002271CC" w:rsidRPr="002271CC" w:rsidRDefault="002271CC"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636937F" w14:textId="40F0EADC" w:rsidR="002271CC" w:rsidRDefault="002271CC" w:rsidP="3D28A338">
            <w:pPr>
              <w:jc w:val="both"/>
              <w:rPr>
                <w:rFonts w:ascii="Calibri" w:hAnsi="Calibri"/>
                <w:b/>
                <w:bCs/>
                <w:color w:val="1F4E79" w:themeColor="accent1" w:themeShade="80"/>
              </w:rPr>
            </w:pPr>
            <w:r w:rsidRPr="002271CC">
              <w:rPr>
                <w:rFonts w:ascii="Calibri" w:hAnsi="Calibri"/>
                <w:b/>
                <w:bCs/>
                <w:color w:val="1F4E79" w:themeColor="accent1" w:themeShade="80"/>
              </w:rPr>
              <w:t>Las dificultades técnicas y de coordinación identificadas durante la Fase 2 se han abordado mediante las siguientes acciones de ingeniería y gobernanza</w:t>
            </w:r>
          </w:p>
          <w:p w14:paraId="6BF0AD37" w14:textId="2F3AC4A9" w:rsidR="002271CC" w:rsidRPr="002271CC" w:rsidRDefault="002271CC" w:rsidP="002271CC">
            <w:pPr>
              <w:pStyle w:val="Prrafodelista"/>
              <w:numPr>
                <w:ilvl w:val="0"/>
                <w:numId w:val="43"/>
              </w:numPr>
              <w:jc w:val="both"/>
              <w:rPr>
                <w:rFonts w:ascii="Calibri" w:hAnsi="Calibri"/>
                <w:b/>
                <w:bCs/>
                <w:color w:val="1F4E79" w:themeColor="accent1" w:themeShade="80"/>
              </w:rPr>
            </w:pPr>
            <w:r w:rsidRPr="002271CC">
              <w:rPr>
                <w:rFonts w:ascii="Calibri" w:hAnsi="Calibri"/>
                <w:b/>
                <w:bCs/>
                <w:color w:val="1F4E79" w:themeColor="accent1" w:themeShade="80"/>
              </w:rPr>
              <w:t>Desfasaje en el Avance Físico del Cliente Móvil (&lt;50%): Se adoptó la estrategia Desarrollo Guiado por Contratos (</w:t>
            </w:r>
            <w:r w:rsidRPr="002271CC">
              <w:rPr>
                <w:rFonts w:ascii="Calibri" w:hAnsi="Calibri"/>
                <w:b/>
                <w:bCs/>
                <w:i/>
                <w:iCs/>
                <w:color w:val="1F4E79" w:themeColor="accent1" w:themeShade="80"/>
              </w:rPr>
              <w:t xml:space="preserve">Contract-First </w:t>
            </w:r>
            <w:proofErr w:type="spellStart"/>
            <w:r w:rsidRPr="002271CC">
              <w:rPr>
                <w:rFonts w:ascii="Calibri" w:hAnsi="Calibri"/>
                <w:b/>
                <w:bCs/>
                <w:i/>
                <w:iCs/>
                <w:color w:val="1F4E79" w:themeColor="accent1" w:themeShade="80"/>
              </w:rPr>
              <w:t>Architecture</w:t>
            </w:r>
            <w:proofErr w:type="spellEnd"/>
            <w:r w:rsidRPr="002271CC">
              <w:rPr>
                <w:rFonts w:ascii="Calibri" w:hAnsi="Calibri"/>
                <w:b/>
                <w:bCs/>
                <w:color w:val="1F4E79" w:themeColor="accent1" w:themeShade="80"/>
              </w:rPr>
              <w:t xml:space="preserve">) basada en especificaciones </w:t>
            </w:r>
            <w:proofErr w:type="spellStart"/>
            <w:r w:rsidRPr="002271CC">
              <w:rPr>
                <w:rFonts w:ascii="Calibri" w:hAnsi="Calibri"/>
                <w:b/>
                <w:bCs/>
                <w:color w:val="1F4E79" w:themeColor="accent1" w:themeShade="80"/>
              </w:rPr>
              <w:t>OpenAPI</w:t>
            </w:r>
            <w:proofErr w:type="spellEnd"/>
            <w:r w:rsidRPr="002271CC">
              <w:rPr>
                <w:rFonts w:ascii="Calibri" w:hAnsi="Calibri"/>
                <w:b/>
                <w:bCs/>
                <w:color w:val="1F4E79" w:themeColor="accent1" w:themeShade="80"/>
              </w:rPr>
              <w:t xml:space="preserve"> 3.0. Esto permite maquetar la interfaz móvil en </w:t>
            </w:r>
            <w:proofErr w:type="spellStart"/>
            <w:r w:rsidRPr="002271CC">
              <w:rPr>
                <w:rFonts w:ascii="Calibri" w:hAnsi="Calibri"/>
                <w:b/>
                <w:bCs/>
                <w:color w:val="1F4E79" w:themeColor="accent1" w:themeShade="80"/>
              </w:rPr>
              <w:t>React</w:t>
            </w:r>
            <w:proofErr w:type="spellEnd"/>
            <w:r w:rsidRPr="002271CC">
              <w:rPr>
                <w:rFonts w:ascii="Calibri" w:hAnsi="Calibri"/>
                <w:b/>
                <w:bCs/>
                <w:color w:val="1F4E79" w:themeColor="accent1" w:themeShade="80"/>
              </w:rPr>
              <w:t xml:space="preserve"> Native usando datos simulados (</w:t>
            </w:r>
            <w:r w:rsidRPr="002271CC">
              <w:rPr>
                <w:rFonts w:ascii="Calibri" w:hAnsi="Calibri"/>
                <w:b/>
                <w:bCs/>
                <w:i/>
                <w:iCs/>
                <w:color w:val="1F4E79" w:themeColor="accent1" w:themeShade="80"/>
              </w:rPr>
              <w:t xml:space="preserve">Mock </w:t>
            </w:r>
            <w:proofErr w:type="spellStart"/>
            <w:r w:rsidRPr="002271CC">
              <w:rPr>
                <w:rFonts w:ascii="Calibri" w:hAnsi="Calibri"/>
                <w:b/>
                <w:bCs/>
                <w:i/>
                <w:iCs/>
                <w:color w:val="1F4E79" w:themeColor="accent1" w:themeShade="80"/>
              </w:rPr>
              <w:t>JSONs</w:t>
            </w:r>
            <w:proofErr w:type="spellEnd"/>
            <w:r w:rsidRPr="002271CC">
              <w:rPr>
                <w:rFonts w:ascii="Calibri" w:hAnsi="Calibri"/>
                <w:b/>
                <w:bCs/>
                <w:color w:val="1F4E79" w:themeColor="accent1" w:themeShade="80"/>
              </w:rPr>
              <w:t xml:space="preserve">) sin depender de los despliegues del </w:t>
            </w:r>
            <w:proofErr w:type="spellStart"/>
            <w:r w:rsidRPr="002271CC">
              <w:rPr>
                <w:rFonts w:ascii="Calibri" w:hAnsi="Calibri"/>
                <w:b/>
                <w:bCs/>
                <w:color w:val="1F4E79" w:themeColor="accent1" w:themeShade="80"/>
              </w:rPr>
              <w:t>backend</w:t>
            </w:r>
            <w:proofErr w:type="spellEnd"/>
            <w:r w:rsidRPr="002271CC">
              <w:rPr>
                <w:rFonts w:ascii="Calibri" w:hAnsi="Calibri"/>
                <w:b/>
                <w:bCs/>
                <w:color w:val="1F4E79" w:themeColor="accent1" w:themeShade="80"/>
              </w:rPr>
              <w:t xml:space="preserve">. </w:t>
            </w:r>
          </w:p>
          <w:p w14:paraId="0B3201C2" w14:textId="4E719D83" w:rsidR="002271CC" w:rsidRPr="002271CC" w:rsidRDefault="002271CC" w:rsidP="002271CC">
            <w:pPr>
              <w:pStyle w:val="Prrafodelista"/>
              <w:numPr>
                <w:ilvl w:val="0"/>
                <w:numId w:val="43"/>
              </w:numPr>
              <w:jc w:val="both"/>
              <w:rPr>
                <w:rFonts w:ascii="Calibri" w:hAnsi="Calibri"/>
                <w:b/>
                <w:bCs/>
                <w:color w:val="1F4E79" w:themeColor="accent1" w:themeShade="80"/>
              </w:rPr>
            </w:pPr>
            <w:r w:rsidRPr="002271CC">
              <w:rPr>
                <w:rFonts w:ascii="Calibri" w:hAnsi="Calibri"/>
                <w:b/>
                <w:bCs/>
                <w:color w:val="1F4E79" w:themeColor="accent1" w:themeShade="80"/>
              </w:rPr>
              <w:t>Dificultades de Coordinación y Comunicación Interna: Se reestructuró el tablero Trello/</w:t>
            </w:r>
            <w:proofErr w:type="spellStart"/>
            <w:r w:rsidRPr="002271CC">
              <w:rPr>
                <w:rFonts w:ascii="Calibri" w:hAnsi="Calibri"/>
                <w:b/>
                <w:bCs/>
                <w:color w:val="1F4E79" w:themeColor="accent1" w:themeShade="80"/>
              </w:rPr>
              <w:t>Scrumban</w:t>
            </w:r>
            <w:proofErr w:type="spellEnd"/>
            <w:r w:rsidRPr="002271CC">
              <w:rPr>
                <w:rFonts w:ascii="Calibri" w:hAnsi="Calibri"/>
                <w:b/>
                <w:bCs/>
                <w:color w:val="1F4E79" w:themeColor="accent1" w:themeShade="80"/>
              </w:rPr>
              <w:t xml:space="preserve"> mediante la asignación nominal e individualizada de Historias de Usuario con fechas límite estrictas y la realización de reuniones breves de sincronización diaria (</w:t>
            </w:r>
            <w:r w:rsidRPr="002271CC">
              <w:rPr>
                <w:rFonts w:ascii="Calibri" w:hAnsi="Calibri"/>
                <w:b/>
                <w:bCs/>
                <w:i/>
                <w:iCs/>
                <w:color w:val="1F4E79" w:themeColor="accent1" w:themeShade="80"/>
              </w:rPr>
              <w:t xml:space="preserve">Daily </w:t>
            </w:r>
            <w:proofErr w:type="spellStart"/>
            <w:r w:rsidRPr="002271CC">
              <w:rPr>
                <w:rFonts w:ascii="Calibri" w:hAnsi="Calibri"/>
                <w:b/>
                <w:bCs/>
                <w:i/>
                <w:iCs/>
                <w:color w:val="1F4E79" w:themeColor="accent1" w:themeShade="80"/>
              </w:rPr>
              <w:t>Standups</w:t>
            </w:r>
            <w:proofErr w:type="spellEnd"/>
            <w:r>
              <w:rPr>
                <w:rFonts w:ascii="Calibri" w:hAnsi="Calibri"/>
                <w:b/>
                <w:bCs/>
                <w:i/>
                <w:iCs/>
                <w:color w:val="1F4E79" w:themeColor="accent1" w:themeShade="80"/>
              </w:rPr>
              <w:t>)</w:t>
            </w:r>
          </w:p>
          <w:p w14:paraId="68ADD2D1" w14:textId="77777777" w:rsidR="002271CC" w:rsidRDefault="002271CC"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CB33748" w14:textId="77777777" w:rsidR="00F410BF" w:rsidRPr="00F410BF" w:rsidRDefault="00F410BF" w:rsidP="00F410BF">
            <w:pPr>
              <w:jc w:val="both"/>
              <w:rPr>
                <w:rFonts w:ascii="Calibri" w:hAnsi="Calibri"/>
                <w:b/>
                <w:bCs/>
                <w:color w:val="1F4E79" w:themeColor="accent1" w:themeShade="80"/>
              </w:rPr>
            </w:pPr>
            <w:r w:rsidRPr="00F410BF">
              <w:rPr>
                <w:rFonts w:ascii="Calibri" w:hAnsi="Calibri"/>
                <w:b/>
                <w:bCs/>
                <w:color w:val="1F4E79" w:themeColor="accent1" w:themeShade="80"/>
              </w:rPr>
              <w:t>Evaluación General:</w:t>
            </w:r>
          </w:p>
          <w:p w14:paraId="325CB985" w14:textId="77777777" w:rsidR="00F410BF" w:rsidRPr="00F410BF" w:rsidRDefault="00F410BF" w:rsidP="00F410BF">
            <w:pPr>
              <w:jc w:val="both"/>
              <w:rPr>
                <w:rFonts w:ascii="Calibri" w:hAnsi="Calibri"/>
                <w:b/>
                <w:bCs/>
                <w:color w:val="1F4E79" w:themeColor="accent1" w:themeShade="80"/>
              </w:rPr>
            </w:pPr>
            <w:r w:rsidRPr="00F410BF">
              <w:rPr>
                <w:rFonts w:ascii="Calibri" w:hAnsi="Calibri"/>
                <w:b/>
                <w:bCs/>
                <w:color w:val="1F4E79" w:themeColor="accent1" w:themeShade="80"/>
              </w:rPr>
              <w:t>Evalúo mi desempeño como bueno en la parte técnica de integración y entrega de la app, y con aspectos por mejorar en documentación y pruebas.</w:t>
            </w:r>
          </w:p>
          <w:p w14:paraId="2A46009B" w14:textId="77777777" w:rsidR="00F410BF" w:rsidRPr="00F410BF" w:rsidRDefault="00F410BF" w:rsidP="00F410BF">
            <w:pPr>
              <w:jc w:val="both"/>
              <w:rPr>
                <w:rFonts w:ascii="Calibri" w:hAnsi="Calibri"/>
                <w:b/>
                <w:bCs/>
                <w:color w:val="1F4E79" w:themeColor="accent1" w:themeShade="80"/>
              </w:rPr>
            </w:pPr>
            <w:r w:rsidRPr="00F410BF">
              <w:rPr>
                <w:rFonts w:ascii="Calibri" w:hAnsi="Calibri"/>
                <w:b/>
                <w:bCs/>
                <w:color w:val="1F4E79" w:themeColor="accent1" w:themeShade="80"/>
              </w:rPr>
              <w:t>Aspectos Destacados:</w:t>
            </w:r>
          </w:p>
          <w:p w14:paraId="5A91F341" w14:textId="6A56F960" w:rsidR="00F410BF" w:rsidRPr="00F410BF" w:rsidRDefault="00F410BF" w:rsidP="00F410BF">
            <w:pPr>
              <w:numPr>
                <w:ilvl w:val="0"/>
                <w:numId w:val="48"/>
              </w:numPr>
              <w:jc w:val="both"/>
              <w:rPr>
                <w:rFonts w:ascii="Calibri" w:hAnsi="Calibri"/>
                <w:b/>
                <w:bCs/>
                <w:color w:val="1F4E79" w:themeColor="accent1" w:themeShade="80"/>
              </w:rPr>
            </w:pPr>
            <w:r w:rsidRPr="00F410BF">
              <w:rPr>
                <w:rFonts w:ascii="Calibri" w:hAnsi="Calibri"/>
                <w:b/>
                <w:bCs/>
                <w:color w:val="1F4E79" w:themeColor="accent1" w:themeShade="80"/>
              </w:rPr>
              <w:t>Integración con Pl@ntNet: Conecté la app con la API pública de Pl@ntNet v2 desde la capa de servicios, de modo que la cámara identifica la especie real y entrega su porcentaje de coincidencia.</w:t>
            </w:r>
          </w:p>
          <w:p w14:paraId="2C2DE041" w14:textId="77777777" w:rsidR="00F410BF" w:rsidRPr="00F410BF" w:rsidRDefault="00F410BF" w:rsidP="00F410BF">
            <w:pPr>
              <w:numPr>
                <w:ilvl w:val="0"/>
                <w:numId w:val="48"/>
              </w:numPr>
              <w:jc w:val="both"/>
              <w:rPr>
                <w:rFonts w:ascii="Calibri" w:hAnsi="Calibri"/>
                <w:b/>
                <w:bCs/>
                <w:color w:val="1F4E79" w:themeColor="accent1" w:themeShade="80"/>
              </w:rPr>
            </w:pPr>
            <w:r w:rsidRPr="00F410BF">
              <w:rPr>
                <w:rFonts w:ascii="Calibri" w:hAnsi="Calibri"/>
                <w:b/>
                <w:bCs/>
                <w:color w:val="1F4E79" w:themeColor="accent1" w:themeShade="80"/>
              </w:rPr>
              <w:t>Entrega del APK instalable: Generé la app como APK con EAS Build y resolví los errores de compilación (lockfile desincronizado, dependencias de web y nombre del proyecto), de modo que ya se puede instalar sin Expo Go.</w:t>
            </w:r>
          </w:p>
          <w:p w14:paraId="5D99CA8E" w14:textId="56262B5E" w:rsidR="004F2A8B" w:rsidRDefault="00F410BF" w:rsidP="3D28A338">
            <w:pPr>
              <w:jc w:val="both"/>
              <w:rPr>
                <w:rFonts w:ascii="Calibri" w:hAnsi="Calibri"/>
                <w:b/>
                <w:bCs/>
                <w:color w:val="1F4E79" w:themeColor="accent1" w:themeShade="80"/>
              </w:rPr>
            </w:pPr>
            <w:r w:rsidRPr="00F410BF">
              <w:rPr>
                <w:rFonts w:ascii="Calibri" w:hAnsi="Calibri"/>
                <w:b/>
                <w:bCs/>
                <w:color w:val="1F4E79" w:themeColor="accent1" w:themeShade="80"/>
              </w:rPr>
              <w:t>Aspectos a mejorar: Asumir una parte mayor de la documentación, hoy concentrada en una sola persona, y mover la llamada a Pl@ntNet al backend para no exponer la API key dentro de la app. Además están pendientes las pruebas de calidad (PyTest) y el análisis de entorno interior/exterior.</w:t>
            </w:r>
            <w:proofErr w:type="spellStart"/>
            <w:proofErr w:type="spellEnd"/>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20F077B" w14:textId="7575508D" w:rsidR="002271CC" w:rsidRPr="002271CC" w:rsidRDefault="002271CC" w:rsidP="002271CC">
            <w:pPr>
              <w:jc w:val="both"/>
              <w:rPr>
                <w:rFonts w:ascii="Calibri" w:hAnsi="Calibri"/>
                <w:b/>
                <w:bCs/>
                <w:color w:val="1F4E79" w:themeColor="accent1" w:themeShade="80"/>
              </w:rPr>
            </w:pPr>
            <w:r>
              <w:rPr>
                <w:rFonts w:ascii="Calibri" w:hAnsi="Calibri"/>
                <w:b/>
                <w:bCs/>
                <w:color w:val="1F4E79" w:themeColor="accent1" w:themeShade="80"/>
              </w:rPr>
              <w:t>La Inquietud Técnica: Hoy la app llama directamente a la API de Pl@ntNet, por lo que la API key queda dentro del código de la app. Me preocupa cómo protegerla pasando la llamada por el backend sin que la respuesta de identificación supere los 3 segundos.</w:t>
            </w:r>
            <w:proofErr w:type="spellStart"/>
            <w:proofErr w:type="spellEnd"/>
            <w:proofErr w:type="spellStart"/>
            <w:proofErr w:type="spellEnd"/>
          </w:p>
          <w:p w14:paraId="359EC477" w14:textId="0E6E28B4" w:rsidR="002271CC" w:rsidRPr="002271CC" w:rsidRDefault="002271CC" w:rsidP="002271CC">
            <w:pPr>
              <w:jc w:val="both"/>
              <w:rPr>
                <w:rFonts w:ascii="Calibri" w:hAnsi="Calibri"/>
                <w:b/>
                <w:bCs/>
                <w:color w:val="1F4E79" w:themeColor="accent1" w:themeShade="80"/>
              </w:rPr>
            </w:pPr>
            <w:r w:rsidRPr="002271CC">
              <w:rPr>
                <w:rFonts w:ascii="Calibri" w:hAnsi="Calibri"/>
                <w:b/>
                <w:bCs/>
                <w:color w:val="1F4E79" w:themeColor="accent1" w:themeShade="80"/>
              </w:rPr>
              <w:t>Pregunta para el Docente o Pares:</w:t>
            </w:r>
          </w:p>
          <w:p w14:paraId="26E3C759" w14:textId="53B18CD4" w:rsidR="002271CC" w:rsidRPr="002271CC" w:rsidRDefault="002271CC" w:rsidP="002271CC">
            <w:pPr>
              <w:jc w:val="both"/>
              <w:rPr>
                <w:rFonts w:ascii="Calibri" w:hAnsi="Calibri"/>
                <w:b/>
                <w:bCs/>
                <w:color w:val="1F4E79" w:themeColor="accent1" w:themeShade="80"/>
              </w:rPr>
            </w:pPr>
            <w:r w:rsidRPr="002271CC">
              <w:rPr>
                <w:rFonts w:ascii="Calibri" w:hAnsi="Calibri"/>
                <w:b/>
                <w:bCs/>
                <w:i/>
                <w:iCs/>
                <w:color w:val="1F4E79" w:themeColor="accent1" w:themeShade="80"/>
              </w:rPr>
              <w:t>¿Qué recomiendan para manejar credenciales de APIs de terceros (como la key de Pl@ntNet) en una app móvil, y cómo medir que la latencia extra de pasar por un backend en capa gratuita no supere el umbral de 3 segundos?</w:t>
            </w:r>
            <w:proofErr w:type="spellStart"/>
            <w:proofErr w:type="spellEnd"/>
            <w:proofErr w:type="spellStart"/>
            <w:proofErr w:type="spellEnd"/>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47093D1" w14:textId="026A415A" w:rsidR="00F410BF" w:rsidRPr="00F410BF" w:rsidRDefault="00F410BF" w:rsidP="00F410BF">
            <w:pPr>
              <w:jc w:val="both"/>
              <w:rPr>
                <w:rFonts w:ascii="Calibri" w:hAnsi="Calibri"/>
                <w:b/>
                <w:bCs/>
                <w:i/>
                <w:iCs/>
                <w:color w:val="1F4E79" w:themeColor="accent1" w:themeShade="80"/>
              </w:rPr>
            </w:pPr>
            <w:r w:rsidRPr="00F410BF">
              <w:rPr>
                <w:rFonts w:ascii="Calibri" w:hAnsi="Calibri"/>
                <w:b/>
                <w:bCs/>
                <w:i/>
                <w:iCs/>
                <w:color w:val="1F4E79" w:themeColor="accent1" w:themeShade="80"/>
              </w:rPr>
              <w:t xml:space="preserve">Sí, se determinó una redistribución operacional de tareas dentro del tablero </w:t>
            </w:r>
            <w:proofErr w:type="spellStart"/>
            <w:r w:rsidRPr="00F410BF">
              <w:rPr>
                <w:rFonts w:ascii="Calibri" w:hAnsi="Calibri"/>
                <w:b/>
                <w:bCs/>
                <w:i/>
                <w:iCs/>
                <w:color w:val="1F4E79" w:themeColor="accent1" w:themeShade="80"/>
              </w:rPr>
              <w:t>Scrumban</w:t>
            </w:r>
            <w:proofErr w:type="spellEnd"/>
            <w:r w:rsidRPr="00F410BF">
              <w:rPr>
                <w:rFonts w:ascii="Calibri" w:hAnsi="Calibri"/>
                <w:b/>
                <w:bCs/>
                <w:i/>
                <w:iCs/>
                <w:color w:val="1F4E79" w:themeColor="accent1" w:themeShade="80"/>
              </w:rPr>
              <w:t xml:space="preserve"> para recuperar el porcentaje de avance físico en la aplicación móvil sin alterar la línea base del proyecto (</w:t>
            </w:r>
            <m:oMath>
              <m:r>
                <m:rPr>
                  <m:sty m:val="bi"/>
                </m:rPr>
                <w:rPr>
                  <w:rFonts w:ascii="Cambria Math" w:hAnsi="Cambria Math"/>
                  <w:color w:val="1F4E79" w:themeColor="accent1" w:themeShade="80"/>
                </w:rPr>
                <m:t>18</m:t>
              </m:r>
              <m:r>
                <m:rPr>
                  <m:nor/>
                </m:rPr>
                <w:rPr>
                  <w:rFonts w:ascii="Calibri" w:hAnsi="Calibri"/>
                  <w:b/>
                  <w:bCs/>
                  <w:i/>
                  <w:iCs/>
                  <w:color w:val="1F4E79" w:themeColor="accent1" w:themeShade="80"/>
                </w:rPr>
                <m:t> semanas</m:t>
              </m:r>
            </m:oMath>
            <w:r w:rsidRPr="00F410BF">
              <w:rPr>
                <w:rFonts w:ascii="Calibri" w:hAnsi="Calibri"/>
                <w:b/>
                <w:bCs/>
                <w:i/>
                <w:iCs/>
                <w:color w:val="1F4E79" w:themeColor="accent1" w:themeShade="80"/>
              </w:rPr>
              <w:t xml:space="preserve"> / </w:t>
            </w:r>
            <m:oMath>
              <m:r>
                <m:rPr>
                  <m:sty m:val="bi"/>
                </m:rPr>
                <w:rPr>
                  <w:rFonts w:ascii="Cambria Math" w:hAnsi="Cambria Math"/>
                  <w:color w:val="1F4E79" w:themeColor="accent1" w:themeShade="80"/>
                </w:rPr>
                <m:t>141</m:t>
              </m:r>
              <m:r>
                <m:rPr>
                  <m:nor/>
                </m:rPr>
                <w:rPr>
                  <w:rFonts w:ascii="Calibri" w:hAnsi="Calibri"/>
                  <w:b/>
                  <w:bCs/>
                  <w:i/>
                  <w:iCs/>
                  <w:color w:val="1F4E79" w:themeColor="accent1" w:themeShade="80"/>
                </w:rPr>
                <m:t> días</m:t>
              </m:r>
            </m:oMath>
            <w:r w:rsidRPr="00F410BF">
              <w:rPr>
                <w:rFonts w:ascii="Calibri" w:hAnsi="Calibri"/>
                <w:b/>
                <w:bCs/>
                <w:i/>
                <w:iCs/>
                <w:color w:val="1F4E79" w:themeColor="accent1" w:themeShade="80"/>
              </w:rPr>
              <w:t xml:space="preserve"> / </w:t>
            </w:r>
            <m:oMath>
              <m:r>
                <m:rPr>
                  <m:sty m:val="bi"/>
                </m:rPr>
                <w:rPr>
                  <w:rFonts w:ascii="Cambria Math" w:hAnsi="Cambria Math"/>
                  <w:color w:val="1F4E79" w:themeColor="accent1" w:themeShade="80"/>
                </w:rPr>
                <m:t>862</m:t>
              </m:r>
              <m:r>
                <m:rPr>
                  <m:nor/>
                </m:rPr>
                <w:rPr>
                  <w:rFonts w:ascii="Calibri" w:hAnsi="Calibri"/>
                  <w:b/>
                  <w:bCs/>
                  <w:i/>
                  <w:iCs/>
                  <w:color w:val="1F4E79" w:themeColor="accent1" w:themeShade="80"/>
                </w:rPr>
                <m:t> HH</m:t>
              </m:r>
            </m:oMath>
            <w:r w:rsidRPr="00F410BF">
              <w:rPr>
                <w:rFonts w:ascii="Calibri" w:hAnsi="Calibri"/>
                <w:b/>
                <w:bCs/>
                <w:i/>
                <w:iCs/>
                <w:color w:val="1F4E79" w:themeColor="accent1" w:themeShade="80"/>
              </w:rPr>
              <w:t xml:space="preserve">): </w:t>
            </w:r>
          </w:p>
          <w:p w14:paraId="6DE35D90" w14:textId="77777777" w:rsidR="00F410BF" w:rsidRPr="00F410BF" w:rsidRDefault="00F410BF" w:rsidP="00F410BF">
            <w:pPr>
              <w:pStyle w:val="Prrafodelista"/>
              <w:numPr>
                <w:ilvl w:val="0"/>
                <w:numId w:val="46"/>
              </w:numPr>
              <w:tabs>
                <w:tab w:val="num" w:pos="720"/>
              </w:tabs>
              <w:jc w:val="both"/>
              <w:rPr>
                <w:rFonts w:ascii="Calibri" w:hAnsi="Calibri"/>
                <w:b/>
                <w:bCs/>
                <w:i/>
                <w:iCs/>
                <w:color w:val="1F4E79" w:themeColor="accent1" w:themeShade="80"/>
              </w:rPr>
            </w:pPr>
            <w:r w:rsidRPr="00F410BF">
              <w:rPr>
                <w:rFonts w:ascii="Calibri" w:hAnsi="Calibri"/>
                <w:b/>
                <w:bCs/>
                <w:i/>
                <w:iCs/>
                <w:color w:val="1F4E79" w:themeColor="accent1" w:themeShade="80"/>
              </w:rPr>
              <w:t xml:space="preserve">Redistribución de Maquetación Cliente: La construcción de las pantallas móviles (HU-FLOR-004 Mascota/Rachas y HU-FLOR-014 Catálogo) se dividió entre los desarrolladores del equipo, aprovechando que los contratos JSON </w:t>
            </w:r>
            <w:proofErr w:type="spellStart"/>
            <w:r w:rsidRPr="00F410BF">
              <w:rPr>
                <w:rFonts w:ascii="Calibri" w:hAnsi="Calibri"/>
                <w:b/>
                <w:bCs/>
                <w:i/>
                <w:iCs/>
                <w:color w:val="1F4E79" w:themeColor="accent1" w:themeShade="80"/>
              </w:rPr>
              <w:t>OpenAPI</w:t>
            </w:r>
            <w:proofErr w:type="spellEnd"/>
            <w:r w:rsidRPr="00F410BF">
              <w:rPr>
                <w:rFonts w:ascii="Calibri" w:hAnsi="Calibri"/>
                <w:b/>
                <w:bCs/>
                <w:i/>
                <w:iCs/>
                <w:color w:val="1F4E79" w:themeColor="accent1" w:themeShade="80"/>
              </w:rPr>
              <w:t xml:space="preserve"> 3.0 ya están definidos. </w:t>
            </w:r>
          </w:p>
          <w:p w14:paraId="468956B2" w14:textId="77777777" w:rsidR="00F410BF" w:rsidRPr="00F410BF" w:rsidRDefault="00F410BF" w:rsidP="00F410BF">
            <w:pPr>
              <w:tabs>
                <w:tab w:val="num" w:pos="720"/>
              </w:tabs>
              <w:jc w:val="both"/>
              <w:rPr>
                <w:rFonts w:ascii="Calibri" w:hAnsi="Calibri"/>
                <w:b/>
                <w:bCs/>
                <w:i/>
                <w:iCs/>
                <w:color w:val="1F4E79" w:themeColor="accent1" w:themeShade="80"/>
              </w:rPr>
            </w:pPr>
            <w:r w:rsidRPr="00F410BF">
              <w:rPr>
                <w:rFonts w:ascii="Calibri" w:hAnsi="Calibri"/>
                <w:b/>
                <w:bCs/>
                <w:i/>
                <w:iCs/>
                <w:color w:val="1F4E79" w:themeColor="accent1" w:themeShade="80"/>
              </w:rPr>
              <w:t>Nuevas Actividades Asignadas:</w:t>
            </w:r>
          </w:p>
          <w:p w14:paraId="1DCFCE65" w14:textId="77777777" w:rsidR="00F410BF" w:rsidRPr="00F410BF" w:rsidRDefault="00F410BF" w:rsidP="00F410BF">
            <w:pPr>
              <w:pStyle w:val="Prrafodelista"/>
              <w:numPr>
                <w:ilvl w:val="0"/>
                <w:numId w:val="46"/>
              </w:numPr>
              <w:tabs>
                <w:tab w:val="num" w:pos="1440"/>
              </w:tabs>
              <w:jc w:val="both"/>
              <w:rPr>
                <w:rFonts w:ascii="Calibri" w:hAnsi="Calibri"/>
                <w:b/>
                <w:bCs/>
                <w:i/>
                <w:iCs/>
                <w:color w:val="1F4E79" w:themeColor="accent1" w:themeShade="80"/>
              </w:rPr>
            </w:pPr>
            <w:r w:rsidRPr="00F410BF">
              <w:rPr>
                <w:rFonts w:ascii="Calibri" w:hAnsi="Calibri"/>
                <w:b/>
                <w:bCs/>
                <w:i/>
                <w:iCs/>
                <w:color w:val="1F4E79" w:themeColor="accent1" w:themeShade="80"/>
              </w:rPr>
              <w:t xml:space="preserve">Módulo de </w:t>
            </w:r>
            <w:proofErr w:type="spellStart"/>
            <w:r w:rsidRPr="00F410BF">
              <w:rPr>
                <w:rFonts w:ascii="Calibri" w:hAnsi="Calibri"/>
                <w:b/>
                <w:bCs/>
                <w:i/>
                <w:iCs/>
                <w:color w:val="1F4E79" w:themeColor="accent1" w:themeShade="80"/>
              </w:rPr>
              <w:t>Mocks</w:t>
            </w:r>
            <w:proofErr w:type="spellEnd"/>
            <w:r w:rsidRPr="00F410BF">
              <w:rPr>
                <w:rFonts w:ascii="Calibri" w:hAnsi="Calibri"/>
                <w:b/>
                <w:bCs/>
                <w:i/>
                <w:iCs/>
                <w:color w:val="1F4E79" w:themeColor="accent1" w:themeShade="80"/>
              </w:rPr>
              <w:t xml:space="preserve"> y </w:t>
            </w:r>
            <w:proofErr w:type="spellStart"/>
            <w:r w:rsidRPr="00F410BF">
              <w:rPr>
                <w:rFonts w:ascii="Calibri" w:hAnsi="Calibri"/>
                <w:b/>
                <w:bCs/>
                <w:i/>
                <w:iCs/>
                <w:color w:val="1F4E79" w:themeColor="accent1" w:themeShade="80"/>
              </w:rPr>
              <w:t>Caching</w:t>
            </w:r>
            <w:proofErr w:type="spellEnd"/>
            <w:r w:rsidRPr="00F410BF">
              <w:rPr>
                <w:rFonts w:ascii="Calibri" w:hAnsi="Calibri"/>
                <w:b/>
                <w:bCs/>
                <w:i/>
                <w:iCs/>
                <w:color w:val="1F4E79" w:themeColor="accent1" w:themeShade="80"/>
              </w:rPr>
              <w:t xml:space="preserve"> Local: Asignación explícita para configurar la persistencia SQLite en el cliente </w:t>
            </w:r>
            <w:proofErr w:type="spellStart"/>
            <w:r w:rsidRPr="00F410BF">
              <w:rPr>
                <w:rFonts w:ascii="Calibri" w:hAnsi="Calibri"/>
                <w:b/>
                <w:bCs/>
                <w:i/>
                <w:iCs/>
                <w:color w:val="1F4E79" w:themeColor="accent1" w:themeShade="80"/>
              </w:rPr>
              <w:t>React</w:t>
            </w:r>
            <w:proofErr w:type="spellEnd"/>
            <w:r w:rsidRPr="00F410BF">
              <w:rPr>
                <w:rFonts w:ascii="Calibri" w:hAnsi="Calibri"/>
                <w:b/>
                <w:bCs/>
                <w:i/>
                <w:iCs/>
                <w:color w:val="1F4E79" w:themeColor="accent1" w:themeShade="80"/>
              </w:rPr>
              <w:t xml:space="preserve"> Native (HU-FLOR-013). </w:t>
            </w:r>
          </w:p>
          <w:p w14:paraId="482DC977" w14:textId="77777777" w:rsidR="00F410BF" w:rsidRPr="00F410BF" w:rsidRDefault="00F410BF" w:rsidP="00F410BF">
            <w:pPr>
              <w:pStyle w:val="Prrafodelista"/>
              <w:numPr>
                <w:ilvl w:val="0"/>
                <w:numId w:val="46"/>
              </w:numPr>
              <w:tabs>
                <w:tab w:val="num" w:pos="1440"/>
              </w:tabs>
              <w:jc w:val="both"/>
              <w:rPr>
                <w:rFonts w:ascii="Calibri" w:hAnsi="Calibri"/>
                <w:b/>
                <w:bCs/>
                <w:i/>
                <w:iCs/>
                <w:color w:val="1F4E79" w:themeColor="accent1" w:themeShade="80"/>
              </w:rPr>
            </w:pPr>
            <w:r w:rsidRPr="00F410BF">
              <w:rPr>
                <w:rFonts w:ascii="Calibri" w:hAnsi="Calibri"/>
                <w:b/>
                <w:bCs/>
                <w:i/>
                <w:iCs/>
                <w:color w:val="1F4E79" w:themeColor="accent1" w:themeShade="80"/>
              </w:rPr>
              <w:t>Notificaciones Locales Programadas: Configuración del motor expo-</w:t>
            </w:r>
            <w:proofErr w:type="spellStart"/>
            <w:r w:rsidRPr="00F410BF">
              <w:rPr>
                <w:rFonts w:ascii="Calibri" w:hAnsi="Calibri"/>
                <w:b/>
                <w:bCs/>
                <w:i/>
                <w:iCs/>
                <w:color w:val="1F4E79" w:themeColor="accent1" w:themeShade="80"/>
              </w:rPr>
              <w:t>notifications</w:t>
            </w:r>
            <w:proofErr w:type="spellEnd"/>
            <w:r w:rsidRPr="00F410BF">
              <w:rPr>
                <w:rFonts w:ascii="Calibri" w:hAnsi="Calibri"/>
                <w:b/>
                <w:bCs/>
                <w:i/>
                <w:iCs/>
                <w:color w:val="1F4E79" w:themeColor="accent1" w:themeShade="80"/>
              </w:rPr>
              <w:t xml:space="preserve"> desacoplado de servidores externos para asegurar recordatorios fuera de línea (HU-FLOR-015).</w:t>
            </w:r>
          </w:p>
          <w:p w14:paraId="0C5F9ED3" w14:textId="77777777" w:rsidR="004F2A8B" w:rsidRPr="00F410BF" w:rsidRDefault="004F2A8B" w:rsidP="3D28A338">
            <w:pPr>
              <w:jc w:val="both"/>
              <w:rPr>
                <w:rFonts w:ascii="Calibri" w:hAnsi="Calibri"/>
                <w:b/>
                <w:bCs/>
                <w:i/>
                <w:iCs/>
                <w:color w:val="1F4E79" w:themeColor="accent1" w:themeShade="80"/>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AE0E0F3" w14:textId="0372CEEF" w:rsidR="00F410BF" w:rsidRPr="00F410BF" w:rsidRDefault="00F410BF" w:rsidP="00F410BF">
            <w:pPr>
              <w:jc w:val="both"/>
              <w:rPr>
                <w:rFonts w:ascii="Calibri" w:hAnsi="Calibri"/>
                <w:b/>
                <w:bCs/>
                <w:i/>
                <w:iCs/>
                <w:color w:val="1F4E79" w:themeColor="accent1" w:themeShade="80"/>
              </w:rPr>
            </w:pPr>
            <w:r w:rsidRPr="00F410BF">
              <w:rPr>
                <w:rFonts w:ascii="Calibri" w:hAnsi="Calibri"/>
                <w:b/>
                <w:bCs/>
                <w:i/>
                <w:iCs/>
                <w:color w:val="1F4E79" w:themeColor="accent1" w:themeShade="80"/>
              </w:rPr>
              <w:t xml:space="preserve">Evaluación del Trabajo en Grupo: El desempeño del equipo se evalúa como de menos a más, alcanzando una etapa de madurez técnica y alineación metodológica tras superar los desacoples iniciales. </w:t>
            </w:r>
          </w:p>
          <w:p w14:paraId="2022D50C" w14:textId="0B64DA77" w:rsidR="00F410BF" w:rsidRPr="00F410BF" w:rsidRDefault="00F410BF" w:rsidP="00F410BF">
            <w:pPr>
              <w:jc w:val="both"/>
              <w:rPr>
                <w:rFonts w:ascii="Calibri" w:hAnsi="Calibri"/>
                <w:b/>
                <w:bCs/>
                <w:i/>
                <w:iCs/>
                <w:color w:val="1F4E79" w:themeColor="accent1" w:themeShade="80"/>
              </w:rPr>
            </w:pPr>
            <w:r w:rsidRPr="00F410BF">
              <w:rPr>
                <w:rFonts w:ascii="Calibri" w:hAnsi="Calibri"/>
                <w:b/>
                <w:bCs/>
                <w:i/>
                <w:iCs/>
                <w:color w:val="1F4E79" w:themeColor="accent1" w:themeShade="80"/>
              </w:rPr>
              <w:t xml:space="preserve"> Aspectos Positivos Destacados:</w:t>
            </w:r>
          </w:p>
          <w:p w14:paraId="7353F01E" w14:textId="77777777" w:rsidR="00F410BF" w:rsidRPr="00F410BF" w:rsidRDefault="00F410BF" w:rsidP="00F410BF">
            <w:pPr>
              <w:pStyle w:val="Prrafodelista"/>
              <w:numPr>
                <w:ilvl w:val="0"/>
                <w:numId w:val="46"/>
              </w:numPr>
              <w:tabs>
                <w:tab w:val="num" w:pos="1440"/>
              </w:tabs>
              <w:jc w:val="both"/>
              <w:rPr>
                <w:rFonts w:ascii="Calibri" w:hAnsi="Calibri"/>
                <w:b/>
                <w:bCs/>
                <w:i/>
                <w:iCs/>
                <w:color w:val="1F4E79" w:themeColor="accent1" w:themeShade="80"/>
              </w:rPr>
            </w:pPr>
            <w:r w:rsidRPr="00F410BF">
              <w:rPr>
                <w:rFonts w:ascii="Calibri" w:hAnsi="Calibri"/>
                <w:b/>
                <w:bCs/>
                <w:i/>
                <w:iCs/>
                <w:color w:val="1F4E79" w:themeColor="accent1" w:themeShade="80"/>
              </w:rPr>
              <w:t xml:space="preserve">Especialización Complementaria de Roles: Excelente distribución de tareas según la EDT entre </w:t>
            </w:r>
            <w:proofErr w:type="spellStart"/>
            <w:r w:rsidRPr="00F410BF">
              <w:rPr>
                <w:rFonts w:ascii="Calibri" w:hAnsi="Calibri"/>
                <w:b/>
                <w:bCs/>
                <w:i/>
                <w:iCs/>
                <w:color w:val="1F4E79" w:themeColor="accent1" w:themeShade="80"/>
              </w:rPr>
              <w:t>Backend</w:t>
            </w:r>
            <w:proofErr w:type="spellEnd"/>
            <w:r w:rsidRPr="00F410BF">
              <w:rPr>
                <w:rFonts w:ascii="Calibri" w:hAnsi="Calibri"/>
                <w:b/>
                <w:bCs/>
                <w:i/>
                <w:iCs/>
                <w:color w:val="1F4E79" w:themeColor="accent1" w:themeShade="80"/>
              </w:rPr>
              <w:t xml:space="preserve">/DBA, Mobile/Seguridad y QA/IA. </w:t>
            </w:r>
          </w:p>
          <w:p w14:paraId="2457C8C1" w14:textId="77777777" w:rsidR="00F410BF" w:rsidRPr="00F410BF" w:rsidRDefault="00F410BF" w:rsidP="00F410BF">
            <w:pPr>
              <w:pStyle w:val="Prrafodelista"/>
              <w:numPr>
                <w:ilvl w:val="0"/>
                <w:numId w:val="46"/>
              </w:numPr>
              <w:tabs>
                <w:tab w:val="num" w:pos="1440"/>
              </w:tabs>
              <w:jc w:val="both"/>
              <w:rPr>
                <w:rFonts w:ascii="Calibri" w:hAnsi="Calibri"/>
                <w:b/>
                <w:bCs/>
                <w:i/>
                <w:iCs/>
                <w:color w:val="1F4E79" w:themeColor="accent1" w:themeShade="80"/>
              </w:rPr>
            </w:pPr>
            <w:r w:rsidRPr="00F410BF">
              <w:rPr>
                <w:rFonts w:ascii="Calibri" w:hAnsi="Calibri"/>
                <w:b/>
                <w:bCs/>
                <w:i/>
                <w:iCs/>
                <w:color w:val="1F4E79" w:themeColor="accent1" w:themeShade="80"/>
              </w:rPr>
              <w:t xml:space="preserve">Capacidad de Adaptación y Resiliencia: Capacidad para tomar decisiones de arquitectura justificadas, como la consolidación de 9 a 5 </w:t>
            </w:r>
            <w:proofErr w:type="spellStart"/>
            <w:r w:rsidRPr="00F410BF">
              <w:rPr>
                <w:rFonts w:ascii="Calibri" w:hAnsi="Calibri"/>
                <w:b/>
                <w:bCs/>
                <w:i/>
                <w:iCs/>
                <w:color w:val="1F4E79" w:themeColor="accent1" w:themeShade="80"/>
              </w:rPr>
              <w:t>Sprints</w:t>
            </w:r>
            <w:proofErr w:type="spellEnd"/>
            <w:r w:rsidRPr="00F410BF">
              <w:rPr>
                <w:rFonts w:ascii="Calibri" w:hAnsi="Calibri"/>
                <w:b/>
                <w:bCs/>
                <w:i/>
                <w:iCs/>
                <w:color w:val="1F4E79" w:themeColor="accent1" w:themeShade="80"/>
              </w:rPr>
              <w:t xml:space="preserve"> para reducir el sobrecosto de reuniones (</w:t>
            </w:r>
            <w:proofErr w:type="spellStart"/>
            <w:r w:rsidRPr="00F410BF">
              <w:rPr>
                <w:rFonts w:ascii="Calibri" w:hAnsi="Calibri"/>
                <w:b/>
                <w:bCs/>
                <w:i/>
                <w:iCs/>
                <w:color w:val="1F4E79" w:themeColor="accent1" w:themeShade="80"/>
              </w:rPr>
              <w:t>Ceremony</w:t>
            </w:r>
            <w:proofErr w:type="spellEnd"/>
            <w:r w:rsidRPr="00F410BF">
              <w:rPr>
                <w:rFonts w:ascii="Calibri" w:hAnsi="Calibri"/>
                <w:b/>
                <w:bCs/>
                <w:i/>
                <w:iCs/>
                <w:color w:val="1F4E79" w:themeColor="accent1" w:themeShade="80"/>
              </w:rPr>
              <w:t xml:space="preserve"> </w:t>
            </w:r>
            <w:proofErr w:type="spellStart"/>
            <w:r w:rsidRPr="00F410BF">
              <w:rPr>
                <w:rFonts w:ascii="Calibri" w:hAnsi="Calibri"/>
                <w:b/>
                <w:bCs/>
                <w:i/>
                <w:iCs/>
                <w:color w:val="1F4E79" w:themeColor="accent1" w:themeShade="80"/>
              </w:rPr>
              <w:t>Overhead</w:t>
            </w:r>
            <w:proofErr w:type="spellEnd"/>
            <w:r w:rsidRPr="00F410BF">
              <w:rPr>
                <w:rFonts w:ascii="Calibri" w:hAnsi="Calibri"/>
                <w:b/>
                <w:bCs/>
                <w:i/>
                <w:iCs/>
                <w:color w:val="1F4E79" w:themeColor="accent1" w:themeShade="80"/>
              </w:rPr>
              <w:t xml:space="preserve">) en un </w:t>
            </w:r>
            <m:oMath>
              <m:r>
                <m:rPr>
                  <m:sty m:val="bi"/>
                </m:rPr>
                <w:rPr>
                  <w:rFonts w:ascii="Cambria Math" w:hAnsi="Cambria Math"/>
                  <w:color w:val="1F4E79" w:themeColor="accent1" w:themeShade="80"/>
                </w:rPr>
                <m:t>18%</m:t>
              </m:r>
            </m:oMath>
            <w:r w:rsidRPr="00F410BF">
              <w:rPr>
                <w:rFonts w:ascii="Calibri" w:hAnsi="Calibri"/>
                <w:b/>
                <w:bCs/>
                <w:i/>
                <w:iCs/>
                <w:color w:val="1F4E79" w:themeColor="accent1" w:themeShade="80"/>
              </w:rPr>
              <w:t xml:space="preserve">, y la sustitución de hardware IoT por fotometría computacional (SC-03). </w:t>
            </w:r>
          </w:p>
          <w:p w14:paraId="1D7474BF" w14:textId="40ECF8CF" w:rsidR="00F410BF" w:rsidRPr="00F410BF" w:rsidRDefault="00F410BF" w:rsidP="00F410BF">
            <w:pPr>
              <w:jc w:val="both"/>
              <w:rPr>
                <w:rFonts w:ascii="Calibri" w:hAnsi="Calibri"/>
                <w:b/>
                <w:bCs/>
                <w:i/>
                <w:iCs/>
                <w:color w:val="1F4E79" w:themeColor="accent1" w:themeShade="80"/>
              </w:rPr>
            </w:pPr>
            <w:r w:rsidRPr="00F410BF">
              <w:rPr>
                <w:rFonts w:ascii="Calibri" w:hAnsi="Calibri"/>
                <w:b/>
                <w:bCs/>
                <w:i/>
                <w:iCs/>
                <w:color w:val="1F4E79" w:themeColor="accent1" w:themeShade="80"/>
              </w:rPr>
              <w:t xml:space="preserve">Aspectos a Mejorar: La fluidez y frecuencia de los canales de comunicación interna para evitar desfases en las entregas entre la capa </w:t>
            </w:r>
            <w:proofErr w:type="spellStart"/>
            <w:r w:rsidRPr="00F410BF">
              <w:rPr>
                <w:rFonts w:ascii="Calibri" w:hAnsi="Calibri"/>
                <w:b/>
                <w:bCs/>
                <w:i/>
                <w:iCs/>
                <w:color w:val="1F4E79" w:themeColor="accent1" w:themeShade="80"/>
              </w:rPr>
              <w:t>backend</w:t>
            </w:r>
            <w:proofErr w:type="spellEnd"/>
            <w:r w:rsidRPr="00F410BF">
              <w:rPr>
                <w:rFonts w:ascii="Calibri" w:hAnsi="Calibri"/>
                <w:b/>
                <w:bCs/>
                <w:i/>
                <w:iCs/>
                <w:color w:val="1F4E79" w:themeColor="accent1" w:themeShade="80"/>
              </w:rPr>
              <w:t xml:space="preserve"> y la maquetación visual del cliente móvil</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C1330" w14:textId="77777777" w:rsidR="00E5648E" w:rsidRDefault="00E5648E" w:rsidP="00DF38AE">
      <w:pPr>
        <w:spacing w:after="0" w:line="240" w:lineRule="auto"/>
      </w:pPr>
      <w:r>
        <w:separator/>
      </w:r>
    </w:p>
  </w:endnote>
  <w:endnote w:type="continuationSeparator" w:id="0">
    <w:p w14:paraId="14E550FC" w14:textId="77777777" w:rsidR="00E5648E" w:rsidRDefault="00E5648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080F" w14:textId="77777777" w:rsidR="00E5648E" w:rsidRDefault="00E5648E" w:rsidP="00DF38AE">
      <w:pPr>
        <w:spacing w:after="0" w:line="240" w:lineRule="auto"/>
      </w:pPr>
      <w:r>
        <w:separator/>
      </w:r>
    </w:p>
  </w:footnote>
  <w:footnote w:type="continuationSeparator" w:id="0">
    <w:p w14:paraId="1624C622" w14:textId="77777777" w:rsidR="00E5648E" w:rsidRDefault="00E5648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C87445D"/>
    <w:multiLevelType w:val="multilevel"/>
    <w:tmpl w:val="B27A8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3A5E86"/>
    <w:multiLevelType w:val="multilevel"/>
    <w:tmpl w:val="1D4C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2EE581D"/>
    <w:multiLevelType w:val="hybridMultilevel"/>
    <w:tmpl w:val="3F62F8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9"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1B119AB"/>
    <w:multiLevelType w:val="hybridMultilevel"/>
    <w:tmpl w:val="D3C0E7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7E0E26"/>
    <w:multiLevelType w:val="multilevel"/>
    <w:tmpl w:val="E3FC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036D1"/>
    <w:multiLevelType w:val="multilevel"/>
    <w:tmpl w:val="42D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9"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939197E"/>
    <w:multiLevelType w:val="multilevel"/>
    <w:tmpl w:val="6FF4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38C0BE5"/>
    <w:multiLevelType w:val="multilevel"/>
    <w:tmpl w:val="218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3"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86908872">
    <w:abstractNumId w:val="4"/>
  </w:num>
  <w:num w:numId="2" w16cid:durableId="1175655441">
    <w:abstractNumId w:val="11"/>
  </w:num>
  <w:num w:numId="3" w16cid:durableId="195385944">
    <w:abstractNumId w:val="15"/>
  </w:num>
  <w:num w:numId="4" w16cid:durableId="771167854">
    <w:abstractNumId w:val="35"/>
  </w:num>
  <w:num w:numId="5" w16cid:durableId="1144273324">
    <w:abstractNumId w:val="37"/>
  </w:num>
  <w:num w:numId="6" w16cid:durableId="408308908">
    <w:abstractNumId w:val="6"/>
  </w:num>
  <w:num w:numId="7" w16cid:durableId="1781608401">
    <w:abstractNumId w:val="14"/>
  </w:num>
  <w:num w:numId="8" w16cid:durableId="162210812">
    <w:abstractNumId w:val="23"/>
  </w:num>
  <w:num w:numId="9" w16cid:durableId="282002796">
    <w:abstractNumId w:val="18"/>
  </w:num>
  <w:num w:numId="10" w16cid:durableId="1589776430">
    <w:abstractNumId w:val="12"/>
  </w:num>
  <w:num w:numId="11" w16cid:durableId="890459038">
    <w:abstractNumId w:val="30"/>
  </w:num>
  <w:num w:numId="12" w16cid:durableId="1729764375">
    <w:abstractNumId w:val="43"/>
  </w:num>
  <w:num w:numId="13" w16cid:durableId="71510370">
    <w:abstractNumId w:val="36"/>
  </w:num>
  <w:num w:numId="14" w16cid:durableId="959342102">
    <w:abstractNumId w:val="1"/>
  </w:num>
  <w:num w:numId="15" w16cid:durableId="1880698264">
    <w:abstractNumId w:val="44"/>
  </w:num>
  <w:num w:numId="16" w16cid:durableId="1087462919">
    <w:abstractNumId w:val="25"/>
  </w:num>
  <w:num w:numId="17" w16cid:durableId="371812819">
    <w:abstractNumId w:val="21"/>
  </w:num>
  <w:num w:numId="18" w16cid:durableId="635183502">
    <w:abstractNumId w:val="38"/>
  </w:num>
  <w:num w:numId="19" w16cid:durableId="746994100">
    <w:abstractNumId w:val="13"/>
  </w:num>
  <w:num w:numId="20" w16cid:durableId="506092324">
    <w:abstractNumId w:val="47"/>
  </w:num>
  <w:num w:numId="21" w16cid:durableId="1264725589">
    <w:abstractNumId w:val="42"/>
  </w:num>
  <w:num w:numId="22" w16cid:durableId="2118208673">
    <w:abstractNumId w:val="16"/>
  </w:num>
  <w:num w:numId="23" w16cid:durableId="1364748032">
    <w:abstractNumId w:val="17"/>
  </w:num>
  <w:num w:numId="24" w16cid:durableId="925765622">
    <w:abstractNumId w:val="8"/>
  </w:num>
  <w:num w:numId="25" w16cid:durableId="1125467943">
    <w:abstractNumId w:val="20"/>
  </w:num>
  <w:num w:numId="26" w16cid:durableId="1647585199">
    <w:abstractNumId w:val="24"/>
  </w:num>
  <w:num w:numId="27" w16cid:durableId="1941374554">
    <w:abstractNumId w:val="29"/>
  </w:num>
  <w:num w:numId="28" w16cid:durableId="1707832187">
    <w:abstractNumId w:val="0"/>
  </w:num>
  <w:num w:numId="29" w16cid:durableId="1867596585">
    <w:abstractNumId w:val="22"/>
  </w:num>
  <w:num w:numId="30" w16cid:durableId="1653176054">
    <w:abstractNumId w:val="28"/>
  </w:num>
  <w:num w:numId="31" w16cid:durableId="404954073">
    <w:abstractNumId w:val="3"/>
  </w:num>
  <w:num w:numId="32" w16cid:durableId="1646474106">
    <w:abstractNumId w:val="10"/>
  </w:num>
  <w:num w:numId="33" w16cid:durableId="263417595">
    <w:abstractNumId w:val="40"/>
  </w:num>
  <w:num w:numId="34" w16cid:durableId="1265504884">
    <w:abstractNumId w:val="46"/>
  </w:num>
  <w:num w:numId="35" w16cid:durableId="716055330">
    <w:abstractNumId w:val="9"/>
  </w:num>
  <w:num w:numId="36" w16cid:durableId="62073125">
    <w:abstractNumId w:val="32"/>
  </w:num>
  <w:num w:numId="37" w16cid:durableId="657346943">
    <w:abstractNumId w:val="45"/>
  </w:num>
  <w:num w:numId="38" w16cid:durableId="1870727852">
    <w:abstractNumId w:val="34"/>
  </w:num>
  <w:num w:numId="39" w16cid:durableId="358505944">
    <w:abstractNumId w:val="33"/>
  </w:num>
  <w:num w:numId="40" w16cid:durableId="22025766">
    <w:abstractNumId w:val="41"/>
  </w:num>
  <w:num w:numId="41" w16cid:durableId="1540900791">
    <w:abstractNumId w:val="31"/>
  </w:num>
  <w:num w:numId="42" w16cid:durableId="985403162">
    <w:abstractNumId w:val="2"/>
  </w:num>
  <w:num w:numId="43" w16cid:durableId="541092802">
    <w:abstractNumId w:val="19"/>
  </w:num>
  <w:num w:numId="44" w16cid:durableId="1914701540">
    <w:abstractNumId w:val="27"/>
  </w:num>
  <w:num w:numId="45" w16cid:durableId="1218854945">
    <w:abstractNumId w:val="26"/>
  </w:num>
  <w:num w:numId="46" w16cid:durableId="75592078">
    <w:abstractNumId w:val="7"/>
  </w:num>
  <w:num w:numId="47" w16cid:durableId="375618877">
    <w:abstractNumId w:val="39"/>
  </w:num>
  <w:num w:numId="48" w16cid:durableId="540560325">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71CC"/>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648E"/>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0B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5AF6"/>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1069</Words>
  <Characters>5885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Alberto Maulén</cp:lastModifiedBy>
  <cp:revision>43</cp:revision>
  <cp:lastPrinted>2019-12-16T20:10:00Z</cp:lastPrinted>
  <dcterms:created xsi:type="dcterms:W3CDTF">2021-12-31T12:50:00Z</dcterms:created>
  <dcterms:modified xsi:type="dcterms:W3CDTF">2026-10-18T23:13:00Z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