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ínea horizontal" id="3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CMD-TECH</w:t>
      </w:r>
      <w:r w:rsidDel="00000000" w:rsidR="00000000" w:rsidRPr="00000000">
        <w:rPr>
          <w:color w:val="666666"/>
          <w:sz w:val="20"/>
          <w:szCs w:val="20"/>
          <w:rtl w:val="0"/>
        </w:rPr>
        <w:br w:type="textWrapping"/>
        <w:t xml:space="preserve">Chile -Santiago 2024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Proyecto Finder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01 de Noviembre del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Criterios de aceptación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define cómo se evaluará el éxito del proyecto en base a los distintos módulos y funcionalidades del mismo. 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Funcionalidad de Registro de Usuarios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24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usuarios deben poder registrarse en la plataforma utilizando un formulario que valide los campos necesarios (nombre, correo electrónico, contraseña, etc.).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debe enviar un correo de confirmación para activar la cuenta.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Criterio de aceptación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El registro es exitoso si el usuario recibe el correo de confirmación y puede iniciar sesión después de activarlo.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Publicación de Reportes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4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usuarios deben poder publicar alertas de mascotas perdidas, incluyendo la posibilidad de subir una foto, una descripción, y la ubicación donde se perdió.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Criterio de aceptación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La alerta se considera publicada si aparece en la plataforma, es visible para otros usuarios y se muestra correctamente en el mapa.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Geolocalización con Google Maps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24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aplicación debe integrar Google Maps para mostrar la ubicación de las mascotas perdidas.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Criterio de aceptación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La localización debe mostrarse correctamente en el mapa y debe ser posible interactuar con ella (zoom, desplazamiento).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Interfaz de Usuario (UI)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4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interfaz debe ser intuitiva y permitir a los usuarios navegar sin dificultad.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Criterio de aceptación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La UI es aceptada si el 60% de los usuarios de prueba pueden completar las tareas principales (registrar una cuenta, publicar una alerta, buscar mascotas) sin asistencia adicional.</w:t>
      </w:r>
    </w:p>
    <w:p w:rsidR="00000000" w:rsidDel="00000000" w:rsidP="00000000" w:rsidRDefault="00000000" w:rsidRPr="00000000" w14:paraId="00000014">
      <w:pPr>
        <w:spacing w:after="240" w:before="0" w:line="276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Rendimiento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24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plataforma debe cargar las páginas y mostrar los mapas en un tiempo razonable.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Criterio de aceptación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El tiempo de carga de las páginas principales (inicio de sesión, mapa de mascotas) no debe exceder los 3 segundos en condiciones de conexión estándar.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Compatibilidad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before="24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aplicación debe ser accesible desde los principales navegadores modernos (Chrome, Firefox, Edge).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Criterio de aceptación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La aplicación funciona correctamente y sin errores de diseño en las versiones actuales de los navegadores mencionados.</w:t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Roles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Se identifica a las personas o grupos que tienen un interés en el proyecto y define sus roles y responsabilidades.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24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Equipo de desarrollo.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Administradores del sistema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Usuarios finales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Definir Product Owner 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Definir Scrum Master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Definir UX/UI Designer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Definir Tester/QA 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juBhTAzGphLJ0viV2zMGNVf3zg==">CgMxLjAyCGguZ2pkZ3hzMgloLjMwajB6bGwyCWguMWZvYjl0ZTgAciExRjI3UEhhd3Z0eE5Rd0ZIeE5zNDdFZUkxNmx4QU1xVjQ=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