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78A7" w14:textId="77777777" w:rsidR="00670390" w:rsidRPr="000401C9" w:rsidRDefault="00670390" w:rsidP="002503F9">
      <w:pPr>
        <w:pStyle w:val="Tit"/>
      </w:pPr>
      <w:r w:rsidRPr="000401C9">
        <w:t xml:space="preserve">Glosario de </w:t>
      </w:r>
      <w:r w:rsidRPr="000401C9">
        <w:rPr>
          <w:szCs w:val="52"/>
        </w:rPr>
        <w:t>Términos</w:t>
      </w:r>
      <w:r w:rsidRPr="000401C9">
        <w:t xml:space="preserve"> Técnicos</w:t>
      </w:r>
    </w:p>
    <w:p w14:paraId="5B195D28" w14:textId="77777777" w:rsidR="00670390" w:rsidRPr="000401C9" w:rsidRDefault="00670390" w:rsidP="000401C9">
      <w:pPr>
        <w:pStyle w:val="tit1"/>
      </w:pPr>
      <w:r w:rsidRPr="000401C9">
        <w:t>Siglas y Acrónimos</w:t>
      </w:r>
    </w:p>
    <w:p w14:paraId="7717B419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DNS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Domain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Name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System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Sistema de nombres de dominio que traduce nombres de dominio legibles por humanos en direcciones IP numéricas.</w:t>
      </w:r>
    </w:p>
    <w:p w14:paraId="63652ADA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HTTPS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HyperText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Transfer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Protocol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Secure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Protocolo de transferencia de hipertexto seguro que utiliza cifrado SSL/TLS para proteger las comunicaciones web.</w:t>
      </w:r>
    </w:p>
    <w:p w14:paraId="3B29CC21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HTTP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HyperText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Transfer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Protocol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Protocolo de transferencia de hipertexto utilizado para la transmisión de datos en la web.</w:t>
      </w:r>
    </w:p>
    <w:p w14:paraId="4D88ED26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SSL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Secure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Sockets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Layer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Protocolo de seguridad que proporciona cifrado de datos entre cliente y servidor.</w:t>
      </w:r>
    </w:p>
    <w:p w14:paraId="18FE9882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TLS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Transport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Layer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Security)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Sucesor de SSL, protocolo criptográfico que proporciona seguridad en las comunicaciones a través de redes.</w:t>
      </w:r>
    </w:p>
    <w:p w14:paraId="7A2D7490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IP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(Internet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Protocol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Protocolo de internet que define el formato de los paquetes de datos y el esquema de direccionamiento en la red.</w:t>
      </w:r>
    </w:p>
    <w:p w14:paraId="3CDDA123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PTR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(Pointer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Record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Registro DNS que realiza la resolución inversa, convirtiendo direcciones IP en nombres de dominio.</w:t>
      </w:r>
    </w:p>
    <w:p w14:paraId="1D7B9A0D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Address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Record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Registro DNS que asocia un nombre de dominio con una dirección IPv4.</w:t>
      </w:r>
    </w:p>
    <w:p w14:paraId="29D1B280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PHP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Hypertext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Preprocessor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Lenguaje de programación de código abierto especialmente adecuado para el desarrollo web.</w:t>
      </w:r>
    </w:p>
    <w:p w14:paraId="6CB9A0CE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TLD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(Top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Level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Domain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Dominio de nivel superior, como .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com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, .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org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, .es, etc.</w:t>
      </w:r>
    </w:p>
    <w:p w14:paraId="285AE38B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TTL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(Time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To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Live)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Valor en segundos que indica cuánto tiempo puede un registro DNS permanecer en caché antes de requerir una nueva consulta al servidor autoritativo.</w:t>
      </w:r>
    </w:p>
    <w:p w14:paraId="41D803C4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lastRenderedPageBreak/>
        <w:t>SOA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Start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of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Authority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Registro DNS que contiene información administrativa sobre la zona, incluyendo el servidor primario, contacto del administrador y parámetros de sincronización.</w:t>
      </w:r>
    </w:p>
    <w:p w14:paraId="17155FDB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Name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Server)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Registro DNS que especifica qué servidores son autoritativos para una zona determinada.</w:t>
      </w:r>
    </w:p>
    <w:p w14:paraId="04E6CB72" w14:textId="77777777" w:rsidR="00670390" w:rsidRPr="000401C9" w:rsidRDefault="00670390" w:rsidP="000401C9">
      <w:pPr>
        <w:pStyle w:val="tit1"/>
      </w:pPr>
      <w:r w:rsidRPr="000401C9">
        <w:t>Términos Técnicos Generales</w:t>
      </w:r>
    </w:p>
    <w:p w14:paraId="25177E9A" w14:textId="0E67232A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Docker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Plataforma que permite empaquetar aplicaciones y sus dependencias en contenedores portátiles y autosuficientes.</w:t>
      </w:r>
    </w:p>
    <w:p w14:paraId="1160978A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Contenedor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Unidad de software que empaqueta código y todas sus dependencias para que la aplicación se ejecute de manera rápida y confiable en diferentes entornos informáticos.</w:t>
      </w:r>
    </w:p>
    <w:p w14:paraId="41A24873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Docker </w:t>
      </w: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Compose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Herramienta para definir y ejecutar aplicaciones Docker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multi-contenedor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mediante archivos YAML de configuración.</w:t>
      </w:r>
    </w:p>
    <w:p w14:paraId="09C229EA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Bridge (Driver)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Controlador de red en Docker que permite la comunicación entre contenedores en el mismo host mediante una red privada virtual.</w:t>
      </w:r>
    </w:p>
    <w:p w14:paraId="78CEAA14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Bind9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Servidor DNS de código abierto más utilizado en Internet, desarrollado por ISC (Internet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Systems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Consortium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).</w:t>
      </w:r>
    </w:p>
    <w:p w14:paraId="2B5FCAB0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Nginx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Servidor web de alto rendimiento, también utilizado como proxy inverso, balanceador de carga y caché HTTP.</w:t>
      </w:r>
    </w:p>
    <w:p w14:paraId="14EF7A83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Certificados </w:t>
      </w: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Auto-firmados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Certificados SSL/TLS generados localmente sin la validación de una autoridad certificadora externa, útiles para entornos de desarrollo.</w:t>
      </w:r>
    </w:p>
    <w:p w14:paraId="423BAC63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Volumen (Docker)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Mecanismo para persistir datos generados y utilizados por contenedores Docker, permitiendo compartir archivos entre el host y los contenedores.</w:t>
      </w:r>
    </w:p>
    <w:p w14:paraId="06511FAB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Enlace Simbólico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Archivo especial que apunta a otro archivo o directorio, permitiendo acceder al mismo contenido desde diferentes ubicaciones.</w:t>
      </w:r>
    </w:p>
    <w:p w14:paraId="250A0555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lastRenderedPageBreak/>
        <w:t>Host/Anfitrión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Máquina física o virtual que ejecuta el sistema Docker y aloja los contenedores.</w:t>
      </w:r>
    </w:p>
    <w:p w14:paraId="0C7B45DB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nslookup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Herramienta de línea de comandos para consultar servidores DNS y obtener información sobre registros de dominio.</w:t>
      </w:r>
    </w:p>
    <w:p w14:paraId="703389F8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GitHub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Plataforma de alojamiento de código que utiliza Git para el control de versiones y colaboración en proyectos de desarrollo.</w:t>
      </w:r>
    </w:p>
    <w:p w14:paraId="0440DDC4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Git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Sistema de control de versiones distribuido para rastrear cambios en el código fuente durante el desarrollo de software.</w:t>
      </w:r>
    </w:p>
    <w:p w14:paraId="4788669E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Commit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Instantánea de los cambios realizados en el repositorio Git, que incluye una descripción de las modificaciones.</w:t>
      </w:r>
    </w:p>
    <w:p w14:paraId="00A5006F" w14:textId="77777777" w:rsidR="00670390" w:rsidRPr="000401C9" w:rsidRDefault="00670390" w:rsidP="000401C9">
      <w:pPr>
        <w:pStyle w:val="tit1"/>
      </w:pPr>
      <w:r w:rsidRPr="000401C9">
        <w:t>Conceptos de Seguridad y Arquitectura</w:t>
      </w:r>
    </w:p>
    <w:p w14:paraId="550E4D1B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Módulo/Modularidad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Diseño arquitectónico que divide el sistema en componentes independientes y reutilizables.</w:t>
      </w:r>
    </w:p>
    <w:p w14:paraId="20B0FA26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Escalabilidad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Capacidad del sistema para crecer y gestionar mayor carga de trabajo agregando recursos.</w:t>
      </w:r>
    </w:p>
    <w:p w14:paraId="407953FA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Aislamiento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Separación lógica de servicios para evitar interferencias y mejorar la seguridad.</w:t>
      </w:r>
    </w:p>
    <w:p w14:paraId="0997854D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Repositorio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Almacén central donde se guarda y gestiona el código fuente y sus versiones.</w:t>
      </w:r>
    </w:p>
    <w:p w14:paraId="14E18888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Redirección HTTP → HTTPS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Configuración que fuerza a los usuarios a utilizar conexiones cifradas redirigiendo automáticamente las peticiones HTTP a HTTPS.</w:t>
      </w:r>
    </w:p>
    <w:p w14:paraId="2B3F8DAB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Zona DNS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Porción del espacio de nombres de dominio administrado por un servidor DNS específico.</w:t>
      </w:r>
    </w:p>
    <w:p w14:paraId="402A9ECE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Registro DNS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Entrada en la base de datos DNS que mapea nombres de dominio a direcciones IP u otros valores.</w:t>
      </w:r>
    </w:p>
    <w:p w14:paraId="3E1B1BD4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lastRenderedPageBreak/>
        <w:t>Resolución de Nombres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Proceso de traducir un nombre de dominio en su dirección IP correspondiente.</w:t>
      </w:r>
    </w:p>
    <w:p w14:paraId="3107696F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Bloque Server (</w:t>
      </w: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Nginx</w:t>
      </w:r>
      <w:proofErr w:type="spellEnd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Sección de configuración en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Nginx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que define cómo manejar peticiones para un dominio o sitio web específico.</w:t>
      </w:r>
    </w:p>
    <w:p w14:paraId="0464A3DD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Registro de Recursos DNS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Entrada individual en una zona DNS que mapea un nombre a un valor específico (IP, servidor de nombres, alias, etc.).</w:t>
      </w:r>
    </w:p>
    <w:p w14:paraId="23EF1547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Número de Serie (Serial)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Valor numérico en el registro SOA que se incrementa cada vez que se modifica la zona DNS, utilizado para sincronización entre servidores.</w:t>
      </w:r>
    </w:p>
    <w:p w14:paraId="260FFCEB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FastCGI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Protocolo de comunicación entre el servidor web (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Nginx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) y aplicaciones de procesamiento dinámico (como PHP), que mejora el rendimiento mediante conexiones persistentes.</w:t>
      </w:r>
    </w:p>
    <w:p w14:paraId="4E6678B8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PowerShell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Lenguaje de scripting y </w:t>
      </w:r>
      <w:proofErr w:type="spellStart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shell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línea de comandos desarrollado por Microsoft, utilizado para automatización de tareas administrativas en Windows.</w:t>
      </w:r>
    </w:p>
    <w:p w14:paraId="37CD6985" w14:textId="77777777" w:rsidR="00670390" w:rsidRPr="000401C9" w:rsidRDefault="00670390" w:rsidP="000401C9">
      <w:pPr>
        <w:pStyle w:val="tit1"/>
      </w:pPr>
      <w:r w:rsidRPr="000401C9">
        <w:t>Términos de Automatización</w:t>
      </w:r>
    </w:p>
    <w:p w14:paraId="5E55EAE8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Script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Archivo de comandos ejecutables que automatiza tareas repetitivas o complejas.</w:t>
      </w:r>
    </w:p>
    <w:p w14:paraId="2121AD16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gram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.</w:t>
      </w: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gitignore</w:t>
      </w:r>
      <w:proofErr w:type="spellEnd"/>
      <w:proofErr w:type="gram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Archivo que especifica qué archivos o directorios Git debe ignorar y no versionar (como certificados, claves privadas, etc.).</w:t>
      </w:r>
    </w:p>
    <w:p w14:paraId="23F9E090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Orquestación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Coordinación automatizada de múltiples contenedores y servicios para trabajar conjuntamente.</w:t>
      </w:r>
    </w:p>
    <w:p w14:paraId="4428B74C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Despliegue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Proceso de poner en funcionamiento una aplicación o servicio en un entorno específico.</w:t>
      </w:r>
    </w:p>
    <w:p w14:paraId="690CC748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Reproducible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Característica que permite recrear exactamente el mismo entorno en diferentes máquinas o momentos.</w:t>
      </w:r>
    </w:p>
    <w:p w14:paraId="5C412C84" w14:textId="77777777" w:rsidR="00670390" w:rsidRPr="000401C9" w:rsidRDefault="00670390" w:rsidP="000401C9">
      <w:pPr>
        <w:pStyle w:val="tit1"/>
      </w:pPr>
      <w:r w:rsidRPr="000401C9">
        <w:t>Herramientas y Comandos</w:t>
      </w:r>
    </w:p>
    <w:p w14:paraId="4B55B5FE" w14:textId="230DEB1A" w:rsidR="00670390" w:rsidRPr="000401C9" w:rsidRDefault="007627FD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lastRenderedPageBreak/>
        <w:t>d</w:t>
      </w:r>
      <w:r w:rsidR="002E2AB3"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ocker</w:t>
      </w:r>
      <w:proofErr w:type="spellEnd"/>
      <w:r w:rsidR="002E2AB3"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="00670390"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compose</w:t>
      </w:r>
      <w:proofErr w:type="spellEnd"/>
      <w:r w:rsidR="00670390"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up -d --</w:t>
      </w:r>
      <w:proofErr w:type="spellStart"/>
      <w:r w:rsidR="00670390"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build</w:t>
      </w:r>
      <w:proofErr w:type="spellEnd"/>
      <w:r w:rsidR="00670390"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Comando que construye las imágenes y levanta todos los servicios definidos en el archivo </w:t>
      </w:r>
      <w:proofErr w:type="spellStart"/>
      <w:r w:rsidR="00670390"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>docker-compose.yml</w:t>
      </w:r>
      <w:proofErr w:type="spellEnd"/>
      <w:r w:rsidR="00670390"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en modo desacoplado (segundo plano).</w:t>
      </w:r>
    </w:p>
    <w:p w14:paraId="3233BCA6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docker</w:t>
      </w:r>
      <w:proofErr w:type="spellEnd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inspect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Comando que muestra información detallada sobre contenedores, redes o volúmenes Docker.</w:t>
      </w:r>
    </w:p>
    <w:p w14:paraId="05D8EAF3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spellStart"/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resolv.conf</w:t>
      </w:r>
      <w:proofErr w:type="spellEnd"/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Archivo de configuración del sistema que especifica qué servidores DNS utilizar para la resolución de nombres.</w:t>
      </w:r>
    </w:p>
    <w:p w14:paraId="6DBA1A0E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Caché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Almacenamiento temporal de datos frecuentemente accedidos para mejorar el rendimiento.</w:t>
      </w:r>
    </w:p>
    <w:p w14:paraId="17868A9E" w14:textId="23EF56D6" w:rsidR="00670390" w:rsidRPr="000401C9" w:rsidRDefault="007928F3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VS</w:t>
      </w:r>
      <w:r w:rsidR="00670390"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="00670390"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Code</w:t>
      </w:r>
      <w:proofErr w:type="spellEnd"/>
      <w:r w:rsidR="00670390"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Editor de código fuente desarrollado por Microsoft, ampliamente utilizado para desarrollo web.</w:t>
      </w:r>
    </w:p>
    <w:p w14:paraId="1F8088DF" w14:textId="77777777" w:rsidR="00670390" w:rsidRPr="000401C9" w:rsidRDefault="00670390" w:rsidP="0067039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401C9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Firefox</w:t>
      </w:r>
      <w:r w:rsidRPr="000401C9">
        <w:rPr>
          <w:rFonts w:ascii="Calibri" w:eastAsia="Times New Roman" w:hAnsi="Calibri" w:cs="Calibri"/>
          <w:kern w:val="0"/>
          <w:lang w:eastAsia="es-ES"/>
          <w14:ligatures w14:val="none"/>
        </w:rPr>
        <w:br/>
        <w:t>Navegador web que respeta la configuración DNS del sistema operativo, recomendado para pruebas locales.</w:t>
      </w:r>
    </w:p>
    <w:p w14:paraId="72326FD0" w14:textId="77777777" w:rsidR="00B83438" w:rsidRPr="000401C9" w:rsidRDefault="00B83438" w:rsidP="000401C9">
      <w:pPr>
        <w:pStyle w:val="tit1"/>
      </w:pPr>
      <w:r w:rsidRPr="000401C9">
        <w:t xml:space="preserve">Instrucciones de </w:t>
      </w:r>
      <w:proofErr w:type="spellStart"/>
      <w:r w:rsidRPr="000401C9">
        <w:t>Dockerfile</w:t>
      </w:r>
      <w:proofErr w:type="spellEnd"/>
    </w:p>
    <w:p w14:paraId="13F885E3" w14:textId="77777777" w:rsidR="00B83438" w:rsidRPr="00B83438" w:rsidRDefault="00B83438" w:rsidP="00B83438">
      <w:pPr>
        <w:rPr>
          <w:rFonts w:ascii="Calibri" w:hAnsi="Calibri" w:cs="Calibri"/>
        </w:rPr>
      </w:pPr>
      <w:r w:rsidRPr="00B83438">
        <w:rPr>
          <w:rFonts w:ascii="Calibri" w:hAnsi="Calibri" w:cs="Calibri"/>
          <w:b/>
          <w:bCs/>
        </w:rPr>
        <w:t>FROM</w:t>
      </w:r>
      <w:r w:rsidRPr="00B83438">
        <w:rPr>
          <w:rFonts w:ascii="Calibri" w:hAnsi="Calibri" w:cs="Calibri"/>
        </w:rPr>
        <w:br/>
        <w:t>Instrucción que especifica la imagen base sobre la que se construirá el contenedor.</w:t>
      </w:r>
    </w:p>
    <w:p w14:paraId="40350ABD" w14:textId="77777777" w:rsidR="00B83438" w:rsidRPr="00B83438" w:rsidRDefault="00B83438" w:rsidP="00B83438">
      <w:pPr>
        <w:rPr>
          <w:rFonts w:ascii="Calibri" w:hAnsi="Calibri" w:cs="Calibri"/>
        </w:rPr>
      </w:pPr>
      <w:r w:rsidRPr="00B83438">
        <w:rPr>
          <w:rFonts w:ascii="Calibri" w:hAnsi="Calibri" w:cs="Calibri"/>
          <w:b/>
          <w:bCs/>
        </w:rPr>
        <w:t>RUN</w:t>
      </w:r>
      <w:r w:rsidRPr="00B83438">
        <w:rPr>
          <w:rFonts w:ascii="Calibri" w:hAnsi="Calibri" w:cs="Calibri"/>
        </w:rPr>
        <w:br/>
        <w:t>Ejecuta comandos durante la construcción de la imagen Docker, típicamente para instalar paquetes o configurar el sistema.</w:t>
      </w:r>
    </w:p>
    <w:p w14:paraId="4DE9D41E" w14:textId="77777777" w:rsidR="00B83438" w:rsidRPr="00B83438" w:rsidRDefault="00B83438" w:rsidP="00B83438">
      <w:pPr>
        <w:rPr>
          <w:rFonts w:ascii="Calibri" w:hAnsi="Calibri" w:cs="Calibri"/>
        </w:rPr>
      </w:pPr>
      <w:r w:rsidRPr="00B83438">
        <w:rPr>
          <w:rFonts w:ascii="Calibri" w:hAnsi="Calibri" w:cs="Calibri"/>
          <w:b/>
          <w:bCs/>
        </w:rPr>
        <w:t>EXPOSE</w:t>
      </w:r>
      <w:r w:rsidRPr="00B83438">
        <w:rPr>
          <w:rFonts w:ascii="Calibri" w:hAnsi="Calibri" w:cs="Calibri"/>
        </w:rPr>
        <w:br/>
        <w:t>Declara qué puertos utilizará el contenedor, documentando la intención sin publicarlos automáticamente al host.</w:t>
      </w:r>
    </w:p>
    <w:p w14:paraId="1E7B6C7A" w14:textId="77777777" w:rsidR="00B83438" w:rsidRPr="00B83438" w:rsidRDefault="00B83438" w:rsidP="00B83438">
      <w:pPr>
        <w:rPr>
          <w:rFonts w:ascii="Calibri" w:hAnsi="Calibri" w:cs="Calibri"/>
        </w:rPr>
      </w:pPr>
      <w:r w:rsidRPr="00B83438">
        <w:rPr>
          <w:rFonts w:ascii="Calibri" w:hAnsi="Calibri" w:cs="Calibri"/>
          <w:b/>
          <w:bCs/>
        </w:rPr>
        <w:t>CMD</w:t>
      </w:r>
      <w:r w:rsidRPr="00B83438">
        <w:rPr>
          <w:rFonts w:ascii="Calibri" w:hAnsi="Calibri" w:cs="Calibri"/>
        </w:rPr>
        <w:br/>
        <w:t>Define el comando predeterminado que se ejecutará cuando se inicie el contenedor.</w:t>
      </w:r>
    </w:p>
    <w:p w14:paraId="2FEDC34F" w14:textId="57994121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apt-get</w:t>
      </w:r>
      <w:proofErr w:type="spellEnd"/>
      <w:r w:rsidRPr="00B83438">
        <w:rPr>
          <w:rFonts w:ascii="Calibri" w:hAnsi="Calibri" w:cs="Calibri"/>
        </w:rPr>
        <w:br/>
        <w:t>Gestor de paquetes de sistemas basados en Debian/Ubuntu, utilizado para instalar, actualizar y eliminar software.</w:t>
      </w:r>
    </w:p>
    <w:p w14:paraId="4F6A7DF2" w14:textId="77777777" w:rsidR="00B83438" w:rsidRPr="000401C9" w:rsidRDefault="00B83438" w:rsidP="000401C9">
      <w:pPr>
        <w:pStyle w:val="tit1"/>
      </w:pPr>
      <w:r w:rsidRPr="000401C9">
        <w:t xml:space="preserve">Parámetros de </w:t>
      </w:r>
      <w:proofErr w:type="spellStart"/>
      <w:r w:rsidRPr="000401C9">
        <w:t>docker-compose.yml</w:t>
      </w:r>
      <w:proofErr w:type="spellEnd"/>
    </w:p>
    <w:p w14:paraId="436E9B5C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lastRenderedPageBreak/>
        <w:t>services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 xml:space="preserve">Sección que define los diferentes contenedores que compondrán la aplicación </w:t>
      </w:r>
      <w:proofErr w:type="spellStart"/>
      <w:r w:rsidRPr="00B83438">
        <w:rPr>
          <w:rFonts w:ascii="Calibri" w:hAnsi="Calibri" w:cs="Calibri"/>
        </w:rPr>
        <w:t>multi-contenedor</w:t>
      </w:r>
      <w:proofErr w:type="spellEnd"/>
      <w:r w:rsidRPr="00B83438">
        <w:rPr>
          <w:rFonts w:ascii="Calibri" w:hAnsi="Calibri" w:cs="Calibri"/>
        </w:rPr>
        <w:t>.</w:t>
      </w:r>
    </w:p>
    <w:p w14:paraId="054AE839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build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 xml:space="preserve">Especifica la ruta del </w:t>
      </w:r>
      <w:proofErr w:type="spellStart"/>
      <w:r w:rsidRPr="00B83438">
        <w:rPr>
          <w:rFonts w:ascii="Calibri" w:hAnsi="Calibri" w:cs="Calibri"/>
        </w:rPr>
        <w:t>Dockerfile</w:t>
      </w:r>
      <w:proofErr w:type="spellEnd"/>
      <w:r w:rsidRPr="00B83438">
        <w:rPr>
          <w:rFonts w:ascii="Calibri" w:hAnsi="Calibri" w:cs="Calibri"/>
        </w:rPr>
        <w:t xml:space="preserve"> o contexto de construcción para crear la imagen del contenedor.</w:t>
      </w:r>
    </w:p>
    <w:p w14:paraId="25BB9758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container_name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Asigna un nombre personalizado al contenedor para facilitar su identificación y gestión.</w:t>
      </w:r>
    </w:p>
    <w:p w14:paraId="28A9CD22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hostname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Define el nombre de host interno que tendrá el contenedor dentro de la red Docker.</w:t>
      </w:r>
    </w:p>
    <w:p w14:paraId="152F53BE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ports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Mapea puertos del contenedor a puertos del host, formato "</w:t>
      </w:r>
      <w:proofErr w:type="spellStart"/>
      <w:r w:rsidRPr="00B83438">
        <w:rPr>
          <w:rFonts w:ascii="Calibri" w:hAnsi="Calibri" w:cs="Calibri"/>
        </w:rPr>
        <w:t>puerto_</w:t>
      </w:r>
      <w:proofErr w:type="gramStart"/>
      <w:r w:rsidRPr="00B83438">
        <w:rPr>
          <w:rFonts w:ascii="Calibri" w:hAnsi="Calibri" w:cs="Calibri"/>
        </w:rPr>
        <w:t>host:puerto</w:t>
      </w:r>
      <w:proofErr w:type="gramEnd"/>
      <w:r w:rsidRPr="00B83438">
        <w:rPr>
          <w:rFonts w:ascii="Calibri" w:hAnsi="Calibri" w:cs="Calibri"/>
        </w:rPr>
        <w:t>_contenedor</w:t>
      </w:r>
      <w:proofErr w:type="spellEnd"/>
      <w:r w:rsidRPr="00B83438">
        <w:rPr>
          <w:rFonts w:ascii="Calibri" w:hAnsi="Calibri" w:cs="Calibri"/>
        </w:rPr>
        <w:t>", permitiendo acceso externo a servicios internos.</w:t>
      </w:r>
    </w:p>
    <w:p w14:paraId="53AC50F3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volumes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Monta directorios o archivos del host en el contenedor, permitiendo persistencia de datos y edición externa de configuraciones.</w:t>
      </w:r>
    </w:p>
    <w:p w14:paraId="14AA6B92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networks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Define a qué red(es) Docker pertenece el contenedor, permitiendo la comunicación entre contenedores.</w:t>
      </w:r>
    </w:p>
    <w:p w14:paraId="68ED8C17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dns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Configura qué servidores DNS utilizará el contenedor para resolución de nombres.</w:t>
      </w:r>
    </w:p>
    <w:p w14:paraId="7C243634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cap_add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 xml:space="preserve">Otorga capacidades específicas del </w:t>
      </w:r>
      <w:proofErr w:type="spellStart"/>
      <w:r w:rsidRPr="00B83438">
        <w:rPr>
          <w:rFonts w:ascii="Calibri" w:hAnsi="Calibri" w:cs="Calibri"/>
        </w:rPr>
        <w:t>kernel</w:t>
      </w:r>
      <w:proofErr w:type="spellEnd"/>
      <w:r w:rsidRPr="00B83438">
        <w:rPr>
          <w:rFonts w:ascii="Calibri" w:hAnsi="Calibri" w:cs="Calibri"/>
        </w:rPr>
        <w:t xml:space="preserve"> Linux al contenedor, como permisos administrativos de red.</w:t>
      </w:r>
    </w:p>
    <w:p w14:paraId="14405FA8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command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 xml:space="preserve">Sobrescribe el comando CMD del </w:t>
      </w:r>
      <w:proofErr w:type="spellStart"/>
      <w:r w:rsidRPr="00B83438">
        <w:rPr>
          <w:rFonts w:ascii="Calibri" w:hAnsi="Calibri" w:cs="Calibri"/>
        </w:rPr>
        <w:t>Dockerfile</w:t>
      </w:r>
      <w:proofErr w:type="spellEnd"/>
      <w:r w:rsidRPr="00B83438">
        <w:rPr>
          <w:rFonts w:ascii="Calibri" w:hAnsi="Calibri" w:cs="Calibri"/>
        </w:rPr>
        <w:t xml:space="preserve"> con instrucciones personalizadas de inicio.</w:t>
      </w:r>
    </w:p>
    <w:p w14:paraId="04A25FC4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restart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 xml:space="preserve">Define la política de reinicio automático del contenedor (no, </w:t>
      </w:r>
      <w:proofErr w:type="spellStart"/>
      <w:r w:rsidRPr="00B83438">
        <w:rPr>
          <w:rFonts w:ascii="Calibri" w:hAnsi="Calibri" w:cs="Calibri"/>
        </w:rPr>
        <w:t>always</w:t>
      </w:r>
      <w:proofErr w:type="spellEnd"/>
      <w:r w:rsidRPr="00B83438">
        <w:rPr>
          <w:rFonts w:ascii="Calibri" w:hAnsi="Calibri" w:cs="Calibri"/>
        </w:rPr>
        <w:t xml:space="preserve">, </w:t>
      </w:r>
      <w:proofErr w:type="spellStart"/>
      <w:r w:rsidRPr="00B83438">
        <w:rPr>
          <w:rFonts w:ascii="Calibri" w:hAnsi="Calibri" w:cs="Calibri"/>
        </w:rPr>
        <w:t>on-failure</w:t>
      </w:r>
      <w:proofErr w:type="spellEnd"/>
      <w:r w:rsidRPr="00B83438">
        <w:rPr>
          <w:rFonts w:ascii="Calibri" w:hAnsi="Calibri" w:cs="Calibri"/>
        </w:rPr>
        <w:t xml:space="preserve">, </w:t>
      </w:r>
      <w:proofErr w:type="spellStart"/>
      <w:r w:rsidRPr="00B83438">
        <w:rPr>
          <w:rFonts w:ascii="Calibri" w:hAnsi="Calibri" w:cs="Calibri"/>
        </w:rPr>
        <w:t>unless-stopped</w:t>
      </w:r>
      <w:proofErr w:type="spellEnd"/>
      <w:r w:rsidRPr="00B83438">
        <w:rPr>
          <w:rFonts w:ascii="Calibri" w:hAnsi="Calibri" w:cs="Calibri"/>
        </w:rPr>
        <w:t>).</w:t>
      </w:r>
    </w:p>
    <w:p w14:paraId="64408A5D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depends_on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Establece dependencias de inicio entre contenedores, controlando el orden de arranque.</w:t>
      </w:r>
    </w:p>
    <w:p w14:paraId="1B08F96A" w14:textId="77777777" w:rsidR="00B83438" w:rsidRPr="00B83438" w:rsidRDefault="00B83438" w:rsidP="00B83438">
      <w:pPr>
        <w:rPr>
          <w:rFonts w:ascii="Calibri" w:hAnsi="Calibri" w:cs="Calibri"/>
        </w:rPr>
      </w:pPr>
      <w:r w:rsidRPr="00B83438">
        <w:rPr>
          <w:rFonts w:ascii="Calibri" w:hAnsi="Calibri" w:cs="Calibri"/>
          <w:b/>
          <w:bCs/>
        </w:rPr>
        <w:t>driver:</w:t>
      </w:r>
      <w:r w:rsidRPr="00B83438">
        <w:rPr>
          <w:rFonts w:ascii="Calibri" w:hAnsi="Calibri" w:cs="Calibri"/>
        </w:rPr>
        <w:br/>
        <w:t xml:space="preserve">Especifica el tipo de controlador a utilizar para redes o volúmenes (bridge, host, </w:t>
      </w:r>
      <w:proofErr w:type="spellStart"/>
      <w:r w:rsidRPr="00B83438">
        <w:rPr>
          <w:rFonts w:ascii="Calibri" w:hAnsi="Calibri" w:cs="Calibri"/>
        </w:rPr>
        <w:t>overlay</w:t>
      </w:r>
      <w:proofErr w:type="spellEnd"/>
      <w:r w:rsidRPr="00B83438">
        <w:rPr>
          <w:rFonts w:ascii="Calibri" w:hAnsi="Calibri" w:cs="Calibri"/>
        </w:rPr>
        <w:t>, etc.).</w:t>
      </w:r>
    </w:p>
    <w:p w14:paraId="42551300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lastRenderedPageBreak/>
        <w:t>ipam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 xml:space="preserve">Configuración de gestión de direcciones IP (IP </w:t>
      </w:r>
      <w:proofErr w:type="spellStart"/>
      <w:r w:rsidRPr="00B83438">
        <w:rPr>
          <w:rFonts w:ascii="Calibri" w:hAnsi="Calibri" w:cs="Calibri"/>
        </w:rPr>
        <w:t>Address</w:t>
      </w:r>
      <w:proofErr w:type="spellEnd"/>
      <w:r w:rsidRPr="00B83438">
        <w:rPr>
          <w:rFonts w:ascii="Calibri" w:hAnsi="Calibri" w:cs="Calibri"/>
        </w:rPr>
        <w:t xml:space="preserve"> Management) para redes personalizadas.</w:t>
      </w:r>
    </w:p>
    <w:p w14:paraId="54C6C961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subnet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Define el rango de direcciones IP disponibles para una red Docker personalizada.</w:t>
      </w:r>
    </w:p>
    <w:p w14:paraId="69287B08" w14:textId="77777777" w:rsidR="00B83438" w:rsidRPr="00B83438" w:rsidRDefault="00B83438" w:rsidP="00B83438">
      <w:pPr>
        <w:rPr>
          <w:rFonts w:ascii="Calibri" w:hAnsi="Calibri" w:cs="Calibri"/>
        </w:rPr>
      </w:pPr>
      <w:proofErr w:type="spellStart"/>
      <w:r w:rsidRPr="00B83438">
        <w:rPr>
          <w:rFonts w:ascii="Calibri" w:hAnsi="Calibri" w:cs="Calibri"/>
          <w:b/>
          <w:bCs/>
        </w:rPr>
        <w:t>gateway</w:t>
      </w:r>
      <w:proofErr w:type="spellEnd"/>
      <w:r w:rsidRPr="00B83438">
        <w:rPr>
          <w:rFonts w:ascii="Calibri" w:hAnsi="Calibri" w:cs="Calibri"/>
          <w:b/>
          <w:bCs/>
        </w:rPr>
        <w:t>:</w:t>
      </w:r>
      <w:r w:rsidRPr="00B83438">
        <w:rPr>
          <w:rFonts w:ascii="Calibri" w:hAnsi="Calibri" w:cs="Calibri"/>
        </w:rPr>
        <w:br/>
        <w:t>Especifica la dirección IP de la puerta de enlace para una red Docker.</w:t>
      </w:r>
    </w:p>
    <w:p w14:paraId="0127673A" w14:textId="70AA84DE" w:rsidR="003F03F7" w:rsidRPr="00670390" w:rsidRDefault="003F03F7" w:rsidP="00670390"/>
    <w:sectPr w:rsidR="003F03F7" w:rsidRPr="0067039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AC69" w14:textId="77777777" w:rsidR="00C27A78" w:rsidRDefault="00C27A78" w:rsidP="005F6412">
      <w:pPr>
        <w:spacing w:after="0" w:line="240" w:lineRule="auto"/>
      </w:pPr>
      <w:r>
        <w:separator/>
      </w:r>
    </w:p>
  </w:endnote>
  <w:endnote w:type="continuationSeparator" w:id="0">
    <w:p w14:paraId="316062B3" w14:textId="77777777" w:rsidR="00C27A78" w:rsidRDefault="00C27A78" w:rsidP="005F6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5904726"/>
      <w:docPartObj>
        <w:docPartGallery w:val="Page Numbers (Bottom of Page)"/>
        <w:docPartUnique/>
      </w:docPartObj>
    </w:sdtPr>
    <w:sdtEndPr/>
    <w:sdtContent>
      <w:p w14:paraId="63959DE3" w14:textId="3907066A" w:rsidR="000966ED" w:rsidRDefault="000966E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D44A11" w14:textId="77777777" w:rsidR="005F6412" w:rsidRDefault="005F64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D6360" w14:textId="77777777" w:rsidR="00C27A78" w:rsidRDefault="00C27A78" w:rsidP="005F6412">
      <w:pPr>
        <w:spacing w:after="0" w:line="240" w:lineRule="auto"/>
      </w:pPr>
      <w:r>
        <w:separator/>
      </w:r>
    </w:p>
  </w:footnote>
  <w:footnote w:type="continuationSeparator" w:id="0">
    <w:p w14:paraId="599E9FCB" w14:textId="77777777" w:rsidR="00C27A78" w:rsidRDefault="00C27A78" w:rsidP="005F6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19CE" w14:textId="416C2914" w:rsidR="000966ED" w:rsidRDefault="000966ED" w:rsidP="000966ED">
    <w:pPr>
      <w:pStyle w:val="Encabezado"/>
    </w:pPr>
    <w:r>
      <w:t>DAW – Glosario de Términos</w:t>
    </w:r>
    <w:r>
      <w:ptab w:relativeTo="margin" w:alignment="center" w:leader="none"/>
    </w:r>
    <w:r>
      <w:ptab w:relativeTo="margin" w:alignment="right" w:leader="none"/>
    </w:r>
    <w:r>
      <w:t>Diego de la Esperanza de Miguel</w:t>
    </w:r>
  </w:p>
  <w:p w14:paraId="3E6703CC" w14:textId="77777777" w:rsidR="005F6412" w:rsidRDefault="005F64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C4719"/>
    <w:multiLevelType w:val="hybridMultilevel"/>
    <w:tmpl w:val="903CEAB2"/>
    <w:lvl w:ilvl="0" w:tplc="F48E6B94">
      <w:start w:val="1"/>
      <w:numFmt w:val="bullet"/>
      <w:pStyle w:val="tit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52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7"/>
    <w:rsid w:val="000401C9"/>
    <w:rsid w:val="000966ED"/>
    <w:rsid w:val="00157EF6"/>
    <w:rsid w:val="002503F9"/>
    <w:rsid w:val="00263D3C"/>
    <w:rsid w:val="002E2AB3"/>
    <w:rsid w:val="003F03F7"/>
    <w:rsid w:val="004F3D35"/>
    <w:rsid w:val="005F6412"/>
    <w:rsid w:val="00670390"/>
    <w:rsid w:val="00717B3B"/>
    <w:rsid w:val="007627FD"/>
    <w:rsid w:val="007928F3"/>
    <w:rsid w:val="0096248A"/>
    <w:rsid w:val="00AE7397"/>
    <w:rsid w:val="00B83438"/>
    <w:rsid w:val="00BC7BDD"/>
    <w:rsid w:val="00C27A78"/>
    <w:rsid w:val="00C73B28"/>
    <w:rsid w:val="00CB49A3"/>
    <w:rsid w:val="00CF18B1"/>
    <w:rsid w:val="00DB2C65"/>
    <w:rsid w:val="00F5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B8531"/>
  <w15:chartTrackingRefBased/>
  <w15:docId w15:val="{F1A595C1-30A5-4ED5-803F-C4684FED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3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64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6412"/>
  </w:style>
  <w:style w:type="paragraph" w:styleId="Piedepgina">
    <w:name w:val="footer"/>
    <w:basedOn w:val="Normal"/>
    <w:link w:val="PiedepginaCar"/>
    <w:uiPriority w:val="99"/>
    <w:unhideWhenUsed/>
    <w:rsid w:val="005F64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6412"/>
  </w:style>
  <w:style w:type="paragraph" w:customStyle="1" w:styleId="Tit">
    <w:name w:val="Tit"/>
    <w:basedOn w:val="Normal"/>
    <w:link w:val="TitCar"/>
    <w:qFormat/>
    <w:rsid w:val="000401C9"/>
    <w:pPr>
      <w:spacing w:before="100" w:beforeAutospacing="1" w:after="100" w:afterAutospacing="1" w:line="240" w:lineRule="auto"/>
      <w:outlineLvl w:val="0"/>
    </w:pPr>
    <w:rPr>
      <w:rFonts w:ascii="Calibri" w:eastAsia="Times New Roman" w:hAnsi="Calibri" w:cs="Calibri"/>
      <w:b/>
      <w:bCs/>
      <w:kern w:val="36"/>
      <w:sz w:val="40"/>
      <w:szCs w:val="48"/>
      <w:lang w:eastAsia="es-ES"/>
      <w14:ligatures w14:val="none"/>
    </w:rPr>
  </w:style>
  <w:style w:type="character" w:customStyle="1" w:styleId="TitCar">
    <w:name w:val="Tit Car"/>
    <w:basedOn w:val="Fuentedeprrafopredeter"/>
    <w:link w:val="Tit"/>
    <w:rsid w:val="000401C9"/>
    <w:rPr>
      <w:rFonts w:ascii="Calibri" w:eastAsia="Times New Roman" w:hAnsi="Calibri" w:cs="Calibri"/>
      <w:b/>
      <w:bCs/>
      <w:kern w:val="36"/>
      <w:sz w:val="40"/>
      <w:szCs w:val="48"/>
      <w:lang w:eastAsia="es-ES"/>
      <w14:ligatures w14:val="none"/>
    </w:rPr>
  </w:style>
  <w:style w:type="paragraph" w:customStyle="1" w:styleId="tit1">
    <w:name w:val="tit1"/>
    <w:basedOn w:val="Normal"/>
    <w:link w:val="tit1Car"/>
    <w:qFormat/>
    <w:rsid w:val="000401C9"/>
    <w:pPr>
      <w:numPr>
        <w:numId w:val="1"/>
      </w:numPr>
      <w:spacing w:before="100" w:beforeAutospacing="1" w:after="100" w:afterAutospacing="1" w:line="240" w:lineRule="auto"/>
      <w:outlineLvl w:val="1"/>
    </w:pPr>
    <w:rPr>
      <w:rFonts w:ascii="Calibri" w:eastAsia="Times New Roman" w:hAnsi="Calibri" w:cs="Calibri"/>
      <w:b/>
      <w:bCs/>
      <w:kern w:val="0"/>
      <w:sz w:val="32"/>
      <w:szCs w:val="36"/>
      <w:lang w:eastAsia="es-ES"/>
      <w14:ligatures w14:val="none"/>
    </w:rPr>
  </w:style>
  <w:style w:type="character" w:customStyle="1" w:styleId="tit1Car">
    <w:name w:val="tit1 Car"/>
    <w:basedOn w:val="Fuentedeprrafopredeter"/>
    <w:link w:val="tit1"/>
    <w:rsid w:val="000401C9"/>
    <w:rPr>
      <w:rFonts w:ascii="Calibri" w:eastAsia="Times New Roman" w:hAnsi="Calibri" w:cs="Calibri"/>
      <w:b/>
      <w:bCs/>
      <w:kern w:val="0"/>
      <w:sz w:val="32"/>
      <w:szCs w:val="36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1359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LA ESPERANZA DE MIGUEL</dc:creator>
  <cp:keywords/>
  <dc:description/>
  <cp:lastModifiedBy>DIEGO DE LA ESPERANZA DE MIGUEL</cp:lastModifiedBy>
  <cp:revision>15</cp:revision>
  <dcterms:created xsi:type="dcterms:W3CDTF">2025-11-17T19:37:00Z</dcterms:created>
  <dcterms:modified xsi:type="dcterms:W3CDTF">2025-11-18T09:34:00Z</dcterms:modified>
</cp:coreProperties>
</file>