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Prioridades y control documental de Splash</w:t>
      </w:r>
    </w:p>
    <w:p>
      <w:r>
        <w:t>Duoc UC Antonio Varas · Ingeniería en Informática · Capstone PTY4614 · 801-V</w:t>
      </w:r>
    </w:p>
    <w:p>
      <w:r>
        <w:t>SPL-DOC-000 · Versión 0.7 · 21 de octubre de 2026</w:t>
        <w:br/>
        <w:t>Responsable: Paul Carrillo</w:t>
        <w:br/>
        <w:t>Revisión: Kevin Iturra y Diego Cortés</w:t>
        <w:br/>
        <w:t>Estado: Actualización documental por auditoría; verificación funcional pendiente</w:t>
      </w:r>
    </w:p>
    <w:p>
      <w:r>
        <w:t>Este control concilia el conflicto señalado por la auditoría y fija una sola referencia para los informes, el backlog y las pruebas de fase 2. Es una actualización de documentos, no evidencia de funcionalidades ya terminadas.</w:t>
      </w:r>
    </w:p>
    <w:p>
      <w:r>
        <w:t>CAM-04 · 21 de octubre de 2026: se consolida la exclusión de pasarelas externas del acta v1.1, por instrucción del solicitante. Sustituye CAM-03 en todos los criterios vigentes del presente conjunto. Se adopta como alcance objetivo el registro manual de pagos y liquidaciones, todavía no implementado según la auditoría. La revisión y conformidad del equipo y del docente se registrarán cuando ocurran; no se acredita una reunión de aprobación.</w:t>
      </w:r>
    </w:p>
    <w:p>
      <w:pPr>
        <w:pStyle w:val="Heading1"/>
      </w:pPr>
      <w:r>
        <w:t>1 Alcance vigente y decisiones pendientes</w:t>
      </w:r>
    </w:p>
    <w:p>
      <w:r>
        <w:t>Splash se limita a cliente, limpiador y administrador, con sus interfaces, API y datos de soporte. Las solicitudes inmediatas y programadas no dependen de un pago aprobado por un proveedor. No se integran Mercado Pago, Webpay, Transbank ni otra pasarela, en producción ni en pruebas. La aplicación no mueve fondos: el registro y la validación del pago y de la liquidación serán manuales, con referencia o comprobante, permisos y auditoría. La referencia de negocio es comisión Splash de 15 % y liquidación semanal al limpiador; no son funciones financieras implementadas.</w:t>
      </w:r>
    </w:p>
    <w:p>
      <w:r>
        <w:t>Falta ratificar medio y momento del cobro del cliente, cuenta receptora, responsable de validar recepción, corte semanal, redondeo y tratamiento manual de cargos de cancelación, reembolsos y disputas. No se fijan lunes y jueves ni se reutilizan automáticamente los cargos 0/15/25/40 % del modelo anterior. Estas decisiones deben cerrarse antes de aceptar los criterios económicos dependientes; no se declaran resueltas mediante esta edición.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Registro de cambio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Origen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Acta v1.1 y solicitud de exclusión de pasarela; auditoría de 20 de octubre.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Efecto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CAM-03 se conserva como antecedente sin vigencia operativa; los criterios económicos pasan a CAM-04.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Aprobación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Instrucción del solicitante disponible. Revisión de Kevin, Diego y equipo y validación docente por registrar.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Implementación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No existe pasarela ni registro manual de pagos en el código auditado. No se declara desarrollado por corregir documentos.</w:t>
            </w:r>
          </w:p>
        </w:tc>
      </w:tr>
    </w:tbl>
    <w:p>
      <w:pPr>
        <w:spacing w:after="20" w:line="60" w:lineRule="exact"/>
      </w:pPr>
    </w:p>
    <w:p>
      <w:pPr>
        <w:pStyle w:val="Heading1"/>
        <w:pageBreakBefore/>
      </w:pPr>
      <w:r>
        <w:t>2 Coherencia documental y responsables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Documento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Cambio y responsable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Acta y 00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CAM-04, límites y tratamiento de pendientes. Paul; revisión Kevin y Diego.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03 y 04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Flujos observados frente a objetivo; Q-13 y entorno medible. Diego, Kevin y Daniel.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05 y 06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Entregables reproducibles ausentes y casos actuales sin resultados ficticios. Diego y Daniel.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07 08 y 09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Valor esperado, avance histórico y estado de desarrollo sin piloto ni ejecución inventados. Paul y equipo.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10 11 y 12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Visión sin pasarela, 83 criterios trazables y plan de 16 semanas sin calendario ficticio. Kevin, Diego y Paul.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13 14 y 15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DoD, retrospectivas no registradas y matriz de 83 HU con diagnóstico separado. Daniel y equipo.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Guías 2.4 y 2.6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Narrativa grupal alineada; sin instrucciones de reflexión personal presentadas como contenido final.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01 y 02 no modificados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Remitir CAM-04 a sus autores: separar diseño objetivo de modelos y servicios existentes. Dependencia pendiente de revisión.</w:t>
            </w:r>
          </w:p>
        </w:tc>
      </w:tr>
    </w:tbl>
    <w:p>
      <w:pPr>
        <w:spacing w:after="20" w:line="60" w:lineRule="exact"/>
      </w:pPr>
    </w:p>
    <w:p>
      <w:r>
        <w:t>Los documentos individuales y de fase 1 no se reescriben en este lote. La auditoría detecta un diario de Diego inválido, autoevaluaciones en blanco y discrepancias de carrera/reflexión; deben resolverlos sus autores con datos propios. No se fabrican testimonios ni firmas.</w:t>
      </w:r>
    </w:p>
    <w:p>
      <w:pPr>
        <w:pStyle w:val="Heading1"/>
        <w:pageBreakBefore/>
      </w:pPr>
      <w:r>
        <w:t>3 Hallazgos y prioridades para la entrega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384"/>
        <w:gridCol w:w="3600"/>
      </w:tblGrid>
      <w:tr>
        <w:trPr>
          <w:cantSplit/>
          <w:tblHeader/>
        </w:trPr>
        <w:tc>
          <w:tcPr>
            <w:tcW w:type="dxa" w:w="259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Hallazgo</w:t>
            </w:r>
          </w:p>
        </w:tc>
        <w:tc>
          <w:tcPr>
            <w:tcW w:type="dxa" w:w="338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Evidencia reportada</w:t>
            </w:r>
          </w:p>
        </w:tc>
        <w:tc>
          <w:tcPr>
            <w:tcW w:type="dxa" w:w="360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Tratamiento documental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AUD-01 Decisión de pagos contradictoria</w:t>
            </w:r>
          </w:p>
        </w:tc>
        <w:tc>
          <w:tcPr>
            <w:tcW w:type="dxa" w:w="338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Acta excluye pasarela; otros informes asumían CAM-03.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Se corrige documentalmente con CAM-04; implementación manual pendiente.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AUD-03 Entrega reproducible incompleta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No hay README.md, Dockerfile ni Compose en raíz según inspección.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 técnico; modelo documental no sustituye archivos ejecutables.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AUD-04 Reporte de incidencia devuelve 404</w:t>
            </w:r>
          </w:p>
        </w:tc>
        <w:tc>
          <w:tcPr>
            <w:tcW w:type="dxa" w:w="338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incidencia.tsx:78 llama POST /lavados/:id/incidencia; ruta ausente.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Registrar defecto y tarea de corrección; ejecutar regresión después.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AUD-05 Retiro de billetera incompleto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WALLET_ENABLED=false; tablas y endpoints conservados.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HU-06.10 en avance parcial reportado: apagada, no retirada.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AUD-06 Ciclos y retrospectivas sin registro</w:t>
            </w:r>
          </w:p>
        </w:tc>
        <w:tc>
          <w:tcPr>
            <w:tcW w:type="dxa" w:w="338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No se acreditan sesiones ni cierres.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Plantillas de captura; no simular hechos, asistentes o acuerdos.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AUD-08 Tiempo real asimétrico en limpiador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No escucha lavado:estado; emite evento sin listener en backend.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Defecto pendiente; separar diagrama objetivo de implementación.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AUD-10 Rate limiting no catalogado</w:t>
            </w:r>
          </w:p>
        </w:tc>
        <w:tc>
          <w:tcPr>
            <w:tcW w:type="dxa" w:w="338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Control en app.ts; capturas reportan 1000 solicitudes/15 min global y 5/min en acceso tras ajuste local.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Añadir Q-13; confirmar valores, rutas, ventana y commit antes de probar.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AUD-13 Rendimiento sin medición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Metas propuestas sin herramienta, dataset ni resultados reproducibles.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Mantener metas como propuestas; completar entorno y ejecutar.</w:t>
            </w:r>
          </w:p>
        </w:tc>
      </w:tr>
    </w:tbl>
    <w:p>
      <w:pPr>
        <w:spacing w:after="20" w:line="60" w:lineRule="exact"/>
      </w:pPr>
    </w:p>
    <w:p>
      <w:r>
        <w:t>La incoherencia textual se trata en este lote. La falta de endpoint, escucha de eventos, modelos manuales, artefactos de instalación y evidencias reales permanece abierta hasta que se implementen y verifiquen. El modelo de datos y arquitectura se coordinan, sin editar sus archivos.</w:t>
      </w:r>
    </w:p>
    <w:p>
      <w:pPr>
        <w:pStyle w:val="Heading1"/>
        <w:pageBreakBefore/>
      </w:pPr>
      <w:r>
        <w:t>4 Indicadores y control de revisión</w:t>
      </w:r>
    </w:p>
    <w:p>
      <w:r>
        <w:t>El backlog v0.2 reporta al 5 de octubre de 2026: 17 HECHO, 39 PARCIAL, 25 PENDIENTE y 2 POR VERIFICAR, de 83 HU. Es una fotografía histórica sobre criterios anteriores: 17/83 = 20,5 % reportadas hechas y (17+39)/83 = 67,5 % con algún avance. Ninguno de estos cocientes es avance global actual ni aceptación de los criterios CAM-04.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Valor y alcance correcto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 históricas HECHO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17/83 = 20,5 %, autorreportado al 5 de octubre; no reaceptación actual.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HU históricas con algún avance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(17+39)/83 = 67,5 %; parcial no equivale a terminado.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Casos CP con evidencia de ejecución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0 resultados CP/EV aportados para esta revisión; no confundir con número de tests existentes.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Suite automatizada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3 archivos y 15 casos según capturas; conteo, ejecución y cobertura actual por confirmar.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README Dockerfile Compose raíz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0 de 3 tipos de artefacto encontrados por la auditoría; pendiente producir y reproducir.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Sprint y avance global actuales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No determinados con rigor: falta ancla de inicio, cierre de ciclos y aceptación por criterios.</w:t>
            </w:r>
          </w:p>
        </w:tc>
      </w:tr>
    </w:tbl>
    <w:p>
      <w:pPr>
        <w:spacing w:after="20" w:line="60" w:lineRule="exact"/>
      </w:pPr>
    </w:p>
    <w:p>
      <w:r>
        <w:t>Plan propuesto de 16 semanas relativas en ocho sprints de dos semanas. La fecha real de inicio del sprint 1, capacidad, selección de tareas y cierres no están acreditados. No se calcula un sprint actual por calendario ni un porcentaje global mezclando código, documentos y pruebas. Los registros de ciclos y retrospectivas permanecen pendientes de evidencia real.</w:t>
      </w:r>
    </w:p>
    <w:p>
      <w:r>
        <w:t>Cada revisión conserva versión, ID de HU, criterio vigente, diagnóstico técnico reportado y resultado CP/EV. El 60 % comunicado antes fue una estimación sin método comprobado y no se usa como indicador verificado. Para actualizarlo, el equipo debe aportar criterios aceptados, trabajo restante y versión probada.</w:t>
      </w:r>
    </w:p>
    <w:p>
      <w:pPr>
        <w:pStyle w:val="Heading2"/>
      </w:pPr>
      <w:r>
        <w:t>Referencias y límites</w:t>
      </w:r>
    </w:p>
    <w:p>
      <w:r>
        <w:rPr>
          <w:sz w:val="17"/>
        </w:rPr>
        <w:t>Fuente técnica principal: Auditoria_Splash_doc-vs-app.pdf, 20 de octubre de 2026, repositorio académico commit 139ddb7 y aplicación commit 932a4b0 más cambios locales. Las capturas aportan observaciones de la revisión del 19 de octubre. Esta actualización contrasta documentos con esa evidencia aportada; no reejecuta el código ni las pruebas y no convierte una inspección en aceptación funcional.</w:t>
      </w:r>
    </w:p>
    <w:p>
      <w:r>
        <w:rPr>
          <w:sz w:val="17"/>
        </w:rPr>
        <w:t>Equipo Splash. Acta v1.2 y CAM-04, 21 de octubre de 2026. Consolidación del alcance sin pasarela, autorizada por el solicitante; aprobación colegiada no registrada.</w:t>
      </w:r>
    </w:p>
    <w:p>
      <w:r>
        <w:rPr>
          <w:sz w:val="17"/>
        </w:rPr>
        <w:t>Daniel Elgueta. Backlog v0.2, 5 de octubre de 2026. Fuente histórica de los 83 IDs; los criterios modificados se identifican en 11 v0.7.</w:t>
      </w:r>
    </w:p>
    <w:p>
      <w:r>
        <w:rPr>
          <w:sz w:val="17"/>
        </w:rPr>
        <w:t>Duoc UC. Guías 2.4 y 2.6 y anexo de artefactos proporcionados al equipo. No se acredita una pauta oficial de puntajes F2 en la auditoría.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SPL-DOC-000 · v0.7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SPL-DOC-000 · v0.7  |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SPL-DOC-000 · v0.7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31520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   Splash  |  Documentación de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Prioridades y control documental de Splash</dc:title>
  <dc:subject/>
  <dc:creator>Equipo Splash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0.7</cp:version>
</cp:coreProperties>
</file>