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no funcionales de Splash</w:t>
      </w:r>
    </w:p>
    <w:p>
      <w:r>
        <w:t>Duoc UC Antonio Varas · Ingeniería en Informática · Capstone PTY4614 · 801-V</w:t>
      </w:r>
    </w:p>
    <w:p>
      <w:r>
        <w:t>SPL-RNF-001 · Versión 0.7 · 21 de octubre de 2026</w:t>
        <w:br/>
        <w:t>Responsable: Paul Carrillo</w:t>
        <w:br/>
        <w:t>Revisión: Kevin Iturra y Daniel Elgueta</w:t>
        <w:br/>
        <w:t>Estado: Actualización documental por auditoría; verificación funcional pendiente</w:t>
      </w:r>
    </w:p>
    <w:p>
      <w:r>
        <w:t>Se conserva el catálogo Q-01 a Q-12 y se incorpora Q-13 para el control de solicitudes ya presente en código. Los requisitos son objetivos verificables; su inclusión no acredita cumplimiento. El catálogo no se equipara sin contraste a los códigos RNF de la pauta académica.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</w:pPr>
      <w:r>
        <w:t>1 Seguridad e integridad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6984"/>
        <w:gridCol w:w="1800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69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Criterio vigente</w:t>
            </w:r>
          </w:p>
        </w:tc>
        <w:tc>
          <w:tcPr>
            <w:tcW w:type="dxa" w:w="18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Q-01</w:t>
            </w:r>
          </w:p>
        </w:tc>
        <w:tc>
          <w:tcPr>
            <w:tcW w:type="dxa" w:w="69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Identidad, rol y propiedad en API y Socket.io; proteger recursos y salas ajenas. La autorización en tiempo real debe verificarse por separado.</w:t>
            </w:r>
          </w:p>
        </w:tc>
        <w:tc>
          <w:tcPr>
            <w:tcW w:type="dxa" w:w="18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01.4; 02.6; 05.1; 09.6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Q-02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Sesiones revocables y suspensión efectiva; módulos y acciones restringidos por subrol, también en backend.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01.3; 01.5; 08.2; 08.11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Q-03</w:t>
            </w:r>
          </w:p>
        </w:tc>
        <w:tc>
          <w:tcPr>
            <w:tcW w:type="dxa" w:w="69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Secretos de aplicación fuera del repositorio y sin fallback inseguro; configuración real documentada. No existen credenciales de pasarela requeridas por el alcance.</w:t>
            </w:r>
          </w:p>
        </w:tc>
        <w:tc>
          <w:tcPr>
            <w:tcW w:type="dxa" w:w="18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09.5; 09.6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Q-04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Aceptación única de solicitud y registros manuales sin duplicados al reintentar; no confundir estados de servicio con recepción del pago.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04.3; 06.3; 06.8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Q-05</w:t>
            </w:r>
          </w:p>
        </w:tc>
        <w:tc>
          <w:tcPr>
            <w:tcW w:type="dxa" w:w="69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Fotos, documentos y futuros datos bancarios con permisos; listados enmascarados cuando el registro exista.</w:t>
            </w:r>
          </w:p>
        </w:tc>
        <w:tc>
          <w:tcPr>
            <w:tcW w:type="dxa" w:w="18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01.7; 05.2; 06.6; 08.10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Metas propuestas y entorno de medición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4896"/>
        <w:gridCol w:w="3888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89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Meta propuesta conservada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Prueba y datos necesarios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Q-06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API p95 ≤ 2 s y errores técnicos &lt; 1 % con 20 usuarios durante 10 min.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PR-01: herramienta, script, dataset sintético, hardware y red.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Q-07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95 % de posiciones visibles en ≤ 10 s con red estable; marcar antigua una posición &gt; 30 s.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PR-02: relojes sincronizados y cliente receptor; revisar asimetría reportada.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Q-08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Disponibilidad ≥ 99 % en 2 h, 120 sondeos y ≥119 éxitos.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PR-03: sondeos locales; no extrapolar a SLA de producción.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Q-09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Comparar 10, 20 y 40 usuarios sin pérdida de datos.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PR-01: latencia, errores, throughput y recursos SQLite.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Q-10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Restauración de datos sintéticos en ≤30 min con integridad; respaldo diario propuesto para piloto.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PR-04: copia consistente, destino, archivos y ensayo aislado.</w:t>
            </w:r>
          </w:p>
        </w:tc>
      </w:tr>
    </w:tbl>
    <w:p>
      <w:pPr>
        <w:spacing w:after="20" w:line="60" w:lineRule="exact"/>
      </w:pPr>
    </w:p>
    <w:p>
      <w:r>
        <w:t>Estado inicial: No ejecutado. La auditoría no encontró entorno de carga, dataset o resultados de estas metas. Daniel define herramienta y evidencias con Diego antes de medir; Kevin revisa metas. Registrar versión, configuración, equipo, red, duración y límites. No afirmar que el objetivo ya se cumple ni medir en la base compartida de demostración.</w:t>
      </w:r>
    </w:p>
    <w:p>
      <w:pPr>
        <w:pStyle w:val="Heading1"/>
        <w:pageBreakBefore/>
      </w:pPr>
      <w:r>
        <w:t>3 Portabilidad claridad y límite de solicitudes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4968"/>
        <w:gridCol w:w="3816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96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38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Situación y verificación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Q-11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Otra persona instala desde copia limpia con README, configuración y Docker aplicable.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README/Docker/Compose raíz ausentes; instalación reproducida pendiente.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Q-12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Las interfaces distinguen estado del servicio, evidencia de pago enviada y recepción validada manualmente.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Modelo manual pendiente; no usar cifras referenciales como pagos reales.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Q-13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El límite de solicitudes se documenta y prueba según rutas y ventanas reales.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Capturas reportan 1000 solicitudes/15 min global y 5/min en acceso, tras ajuste local; app.ts:47–66. Confirmar commit y configuración efectiva.</w:t>
            </w:r>
          </w:p>
        </w:tc>
      </w:tr>
    </w:tbl>
    <w:p>
      <w:pPr>
        <w:spacing w:after="20" w:line="60" w:lineRule="exact"/>
      </w:pPr>
    </w:p>
    <w:p>
      <w:r>
        <w:t>CP-Q13 verifica el umbral exacto por ruta, respuesta de exceso (HTTP 429 si así lo implementa el código), cabeceras, reinicio de ventana, política de IP/proxy y diferencias entre acceso y resto de la API. Usar entorno aislado y no confundir límite HTTP con protección de Socket.io. Los valores reportados no sustituyen una prueba ni se trasladan a producción sin validación.</w:t>
      </w: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pPr>
        <w:pStyle w:val="Heading1"/>
        <w:pageBreakBefore/>
      </w:pPr>
      <w:r>
        <w:t>4 Evidencia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Dato obligatorio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Identificación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Q/HU, criterio v0.7 o v0.2 conservado, CP y subcaso.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Entorno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Commit más cambios locales, dispositivo, motor, configuración y datos sintéticos.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Procedimiento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Script o pasos, entradas, herramienta, duración y resultado esperado.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Observación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Resultado real y unidad; capturas y logs sin secretos.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Evaluación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Cumple, No cumple, Bloqueado o No ejecutado; defecto y acción.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Ejecutor, revisor, fecha, corrección y nueva evidencia de regresión.</w:t>
            </w:r>
          </w:p>
        </w:tc>
      </w:tr>
    </w:tbl>
    <w:p>
      <w:pPr>
        <w:spacing w:after="20" w:line="60" w:lineRule="exact"/>
      </w:pPr>
    </w:p>
    <w:p>
      <w:r>
        <w:t>Q-01 a Q-13 son criterios de calidad de este proyecto. La equivalencia con RNF oficiales y los umbrales deben ratificarse antes de aceptar resultados. Los controles reportados presentes en código no se marcan Cumple sin ejecución y evidencia.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SPL-RNF-001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SPL-RNF-001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SPL-RNF-001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no funcionales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