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Instalación y modelo de despliegue de Splash</w:t>
      </w:r>
    </w:p>
    <w:p>
      <w:r>
        <w:t>Duoc UC Antonio Varas · Ingeniería en Informática · Capstone PTY4614 · 801-V</w:t>
      </w:r>
    </w:p>
    <w:p>
      <w:r>
        <w:t>SPL-DEP-001 · Versión 0.7 · 21 de octubre de 2026</w:t>
        <w:br/>
        <w:t>Responsable: Diego Cortés</w:t>
        <w:br/>
        <w:t>Revisión: Daniel Elgueta y Kevin Iturra</w:t>
        <w:br/>
        <w:t>Estado: Modelo de instalación con artefactos técnicos pendientes</w:t>
      </w:r>
    </w:p>
    <w:p>
      <w:r>
        <w:t>Este documento describe el entorno local reportado y el expediente que debe completar quien instale el proyecto. La auditoría no encontró README.md, Dockerfile ni Compose en la raíz. Ninguna plantilla de este informe se presenta como archivo ejecutable ya desarrollado.</w:t>
      </w:r>
    </w:p>
    <w:p>
      <w:pPr>
        <w:pStyle w:val="Heading1"/>
      </w:pPr>
      <w:r>
        <w:t>1 Entorno observado</w:t>
      </w:r>
    </w:p>
    <w:tbl>
      <w:tblPr>
        <w:tblW w:type="auto" w:w="0"/>
        <w:jc w:val="left"/>
        <w:tblLayout w:type="fixed"/>
        <w:tblLook w:firstColumn="1" w:firstRow="1" w:lastColumn="0" w:lastRow="0" w:noHBand="0" w:noVBand="1" w:val="04A0"/>
      </w:tblPr>
      <w:tblGrid>
        <w:gridCol w:w="2160"/>
        <w:gridCol w:w="7416"/>
      </w:tblGrid>
      <w:tr>
        <w:trPr>
          <w:cantSplit/>
          <w:tblHeader/>
        </w:trPr>
        <w:tc>
          <w:tcPr>
            <w:tcW w:type="dxa" w:w="2160"/>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sz w:val="19"/>
              </w:rPr>
              <w:t>Componente</w:t>
            </w:r>
          </w:p>
        </w:tc>
        <w:tc>
          <w:tcPr>
            <w:tcW w:type="dxa" w:w="7416"/>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sz w:val="19"/>
              </w:rPr>
              <w:t>Situación según evidencia aportada</w:t>
            </w:r>
          </w:p>
        </w:tc>
      </w:tr>
      <w:tr>
        <w:trPr>
          <w:cantSplit/>
        </w:trPr>
        <w:tc>
          <w:tcPr>
            <w:tcW w:type="dxa" w:w="216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Cliente</w:t>
            </w:r>
          </w:p>
        </w:tc>
        <w:tc>
          <w:tcPr>
            <w:tcW w:type="dxa" w:w="741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React Native y Expo SDK 55, TypeScript; interfaz de cliente.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Limpiador</w:t>
            </w:r>
          </w:p>
        </w:tc>
        <w:tc>
          <w:tcPr>
            <w:tcW w:type="dxa" w:w="74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React Native y Expo SDK 55, TypeScript; interfaz de trabajador.</w:t>
            </w:r>
          </w:p>
        </w:tc>
      </w:tr>
      <w:tr>
        <w:trPr>
          <w:cantSplit/>
        </w:trPr>
        <w:tc>
          <w:tcPr>
            <w:tcW w:type="dxa" w:w="216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Backend</w:t>
            </w:r>
          </w:p>
        </w:tc>
        <w:tc>
          <w:tcPr>
            <w:tcW w:type="dxa" w:w="741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Node.js, Express 5, TypeScript, Prisma 7, SQLite y Socket.io.</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Panel nuevo</w:t>
            </w:r>
          </w:p>
        </w:tc>
        <w:tc>
          <w:tcPr>
            <w:tcW w:type="dxa" w:w="74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React 18, Vite, Tailwind, TanStack Query, Zustand, Recharts y Leaflet.</w:t>
            </w:r>
          </w:p>
        </w:tc>
      </w:tr>
      <w:tr>
        <w:trPr>
          <w:cantSplit/>
        </w:trPr>
        <w:tc>
          <w:tcPr>
            <w:tcW w:type="dxa" w:w="216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Panel legacy</w:t>
            </w:r>
          </w:p>
        </w:tc>
        <w:tc>
          <w:tcPr>
            <w:tcW w:type="dxa" w:w="741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HTML y JavaScript servido por backend; convive con el nuevo panel.</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Entorno</w:t>
            </w:r>
          </w:p>
        </w:tc>
        <w:tc>
          <w:tcPr>
            <w:tcW w:type="dxa" w:w="74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Desarrollo local. No se acredita Docker, Compose, README raíz ni despliegue productivo.</w:t>
            </w:r>
          </w:p>
        </w:tc>
      </w:tr>
    </w:tbl>
    <w:p>
      <w:pPr>
        <w:spacing w:after="20" w:line="60" w:lineRule="exact"/>
      </w:pPr>
    </w:p>
    <w:p>
      <w:r>
        <w:t>Splash se limita a cliente, limpiador y administrador, con sus interfaces, API y datos de soporte. Las solicitudes inmediatas y programadas no dependen de un pago aprobado por un proveedor. No se integran Mercado Pago, Webpay, Transbank ni otra pasarela, en producción ni en pruebas. La aplicación no mueve fondos: el registro y la validación del pago y de la liquidación serán manuales, con referencia o comprobante, permisos y auditoría. La referencia de negocio es comisión Splash de 15 % y liquidación semanal al limpiador; no son funciones financieras implementadas.</w:t>
      </w:r>
    </w:p>
    <w:p>
      <w:pPr>
        <w:pStyle w:val="Heading1"/>
        <w:pageBreakBefore/>
      </w:pPr>
      <w:r>
        <w:t>2 Artefactos que deben producirse</w:t>
      </w:r>
    </w:p>
    <w:tbl>
      <w:tblPr>
        <w:tblW w:type="auto" w:w="0"/>
        <w:jc w:val="left"/>
        <w:tblLayout w:type="fixed"/>
        <w:tblLook w:firstColumn="1" w:firstRow="1" w:lastColumn="0" w:lastRow="0" w:noHBand="0" w:noVBand="1" w:val="04A0"/>
      </w:tblPr>
      <w:tblGrid>
        <w:gridCol w:w="2160"/>
        <w:gridCol w:w="7416"/>
      </w:tblGrid>
      <w:tr>
        <w:trPr>
          <w:cantSplit/>
          <w:tblHeader/>
        </w:trPr>
        <w:tc>
          <w:tcPr>
            <w:tcW w:type="dxa" w:w="2160"/>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sz w:val="19"/>
              </w:rPr>
              <w:t>Artefacto</w:t>
            </w:r>
          </w:p>
        </w:tc>
        <w:tc>
          <w:tcPr>
            <w:tcW w:type="dxa" w:w="7416"/>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sz w:val="19"/>
              </w:rPr>
              <w:t>Contenido a completar y evidencia de cierre</w:t>
            </w:r>
          </w:p>
        </w:tc>
      </w:tr>
      <w:tr>
        <w:trPr>
          <w:cantSplit/>
        </w:trPr>
        <w:tc>
          <w:tcPr>
            <w:tcW w:type="dxa" w:w="216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README.md raíz</w:t>
            </w:r>
          </w:p>
        </w:tc>
        <w:tc>
          <w:tcPr>
            <w:tcW w:type="dxa" w:w="741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Repositorio y commit, herramientas, instalación, configuración sin secretos, seed, arranque de API/panel/apps y solución de problemas; otro integrante debe reproducirlo.</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Dockerfile backend</w:t>
            </w:r>
          </w:p>
        </w:tc>
        <w:tc>
          <w:tcPr>
            <w:tcW w:type="dxa" w:w="74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Runtime real de manifiestos, dependencias, Prisma y adapter SQLite, build, arranque y persistencia. No inventar una imagen o un comando probado.</w:t>
            </w:r>
          </w:p>
        </w:tc>
      </w:tr>
      <w:tr>
        <w:trPr>
          <w:cantSplit/>
        </w:trPr>
        <w:tc>
          <w:tcPr>
            <w:tcW w:type="dxa" w:w="216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Dockerfile panel si aplica</w:t>
            </w:r>
          </w:p>
        </w:tc>
        <w:tc>
          <w:tcPr>
            <w:tcW w:type="dxa" w:w="741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Build Vite y servicio de archivos; URL de API y canal de eventos documentados.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docker-compose.yml</w:t>
            </w:r>
          </w:p>
        </w:tc>
        <w:tc>
          <w:tcPr>
            <w:tcW w:type="dxa" w:w="74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Servicios reales de API/panel y volumen SQLite/archivos; no crear PostgreSQL por defecto ni declarar despliegue productivo.</w:t>
            </w:r>
          </w:p>
        </w:tc>
      </w:tr>
      <w:tr>
        <w:trPr>
          <w:cantSplit/>
        </w:trPr>
        <w:tc>
          <w:tcPr>
            <w:tcW w:type="dxa" w:w="216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Ejemplo de entorno</w:t>
            </w:r>
          </w:p>
        </w:tc>
        <w:tc>
          <w:tcPr>
            <w:tcW w:type="dxa" w:w="741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Nombres exactos leídos del código; valores ficticios seguros. Confirmar puertos, CORS, JWT, archivos y servicios externos utilizados.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Apps Expo y Android</w:t>
            </w:r>
          </w:p>
        </w:tc>
        <w:tc>
          <w:tcPr>
            <w:tcW w:type="dxa" w:w="74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Instalación en dispositivo/emulador, permisos de ubicación y cámara, dirección accesible del backend y versión de Expo. No se contenediza la app móvil por suposición.</w:t>
            </w:r>
          </w:p>
        </w:tc>
      </w:tr>
    </w:tbl>
    <w:p>
      <w:pPr>
        <w:spacing w:after="20" w:line="60" w:lineRule="exact"/>
      </w:pPr>
    </w:p>
    <w:p>
      <w:r>
        <w:t>El uso de Docker para una entrega local reproducible es distinto de un despliegue productivo, que sigue excluido. Que no exista hosting no es por sí solo un defecto de alcance; que falten artefactos exigidos y una instalación comprobable sí es un pendiente de entrega.</w:t>
      </w:r>
    </w:p>
    <w:p>
      <w:pPr>
        <w:pStyle w:val="Heading1"/>
        <w:pageBreakBefore/>
      </w:pPr>
      <w:r>
        <w:t>3 Procedimiento para completar con el repositorio</w:t>
      </w:r>
    </w:p>
    <w:tbl>
      <w:tblPr>
        <w:tblW w:type="auto" w:w="0"/>
        <w:jc w:val="left"/>
        <w:tblLayout w:type="fixed"/>
        <w:tblLook w:firstColumn="1" w:firstRow="1" w:lastColumn="0" w:lastRow="0" w:noHBand="0" w:noVBand="1" w:val="04A0"/>
      </w:tblPr>
      <w:tblGrid>
        <w:gridCol w:w="2160"/>
        <w:gridCol w:w="7416"/>
      </w:tblGrid>
      <w:tr>
        <w:trPr>
          <w:cantSplit/>
          <w:tblHeader/>
        </w:trPr>
        <w:tc>
          <w:tcPr>
            <w:tcW w:type="dxa" w:w="2160"/>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sz w:val="19"/>
              </w:rPr>
              <w:t>Paso</w:t>
            </w:r>
          </w:p>
        </w:tc>
        <w:tc>
          <w:tcPr>
            <w:tcW w:type="dxa" w:w="7416"/>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sz w:val="19"/>
              </w:rPr>
              <w:t>Dato y comprobación requerida</w:t>
            </w:r>
          </w:p>
        </w:tc>
      </w:tr>
      <w:tr>
        <w:trPr>
          <w:cantSplit/>
        </w:trPr>
        <w:tc>
          <w:tcPr>
            <w:tcW w:type="dxa" w:w="216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1 Identificar</w:t>
            </w:r>
          </w:p>
        </w:tc>
        <w:tc>
          <w:tcPr>
            <w:tcW w:type="dxa" w:w="741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Repositorio, rama, commit y lista de cambios locales. La auditoría cita 932a4b0 más cambios; no asumir que es un tag final.</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2 Herramientas</w:t>
            </w:r>
          </w:p>
        </w:tc>
        <w:tc>
          <w:tcPr>
            <w:tcW w:type="dxa" w:w="74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Leer package.json y lockfiles; registrar Node, gestor, Prisma, Expo y Docker/Compose si se usan.</w:t>
            </w:r>
          </w:p>
        </w:tc>
      </w:tr>
      <w:tr>
        <w:trPr>
          <w:cantSplit/>
        </w:trPr>
        <w:tc>
          <w:tcPr>
            <w:tcW w:type="dxa" w:w="216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3 Configurar</w:t>
            </w:r>
          </w:p>
        </w:tc>
        <w:tc>
          <w:tcPr>
            <w:tcW w:type="dxa" w:w="741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Variables exactas y archivos; datos de prueba y secretos fuera del repositorio.</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4 Preparar datos</w:t>
            </w:r>
          </w:p>
        </w:tc>
        <w:tc>
          <w:tcPr>
            <w:tcW w:type="dxa" w:w="74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Copia consistente de SQLite y archivos; comandos de seed reales. Billetera sigue presente: no borrar tablas sin decisión y respaldo.</w:t>
            </w:r>
          </w:p>
        </w:tc>
      </w:tr>
      <w:tr>
        <w:trPr>
          <w:cantSplit/>
        </w:trPr>
        <w:tc>
          <w:tcPr>
            <w:tcW w:type="dxa" w:w="216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5 Iniciar</w:t>
            </w:r>
          </w:p>
        </w:tc>
        <w:tc>
          <w:tcPr>
            <w:tcW w:type="dxa" w:w="741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Comandos existentes de API, panel y cada app. Capturar puertos y salida; no inventar nombres de scripts.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6 Verificar</w:t>
            </w:r>
          </w:p>
        </w:tc>
        <w:tc>
          <w:tcPr>
            <w:tcW w:type="dxa" w:w="74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Acceso por rol, solicitud, aceptación, estados, fotos y confirmación; separar defectos conocidos de fallas de instalación.</w:t>
            </w:r>
          </w:p>
        </w:tc>
      </w:tr>
      <w:tr>
        <w:trPr>
          <w:cantSplit/>
        </w:trPr>
        <w:tc>
          <w:tcPr>
            <w:tcW w:type="dxa" w:w="216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7 Persistencia</w:t>
            </w:r>
          </w:p>
        </w:tc>
        <w:tc>
          <w:tcPr>
            <w:tcW w:type="dxa" w:w="741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Reiniciar y recuperar datos; comprobar volúmenes y restauración sobre copia aislada.</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8 Reproducir</w:t>
            </w:r>
          </w:p>
        </w:tc>
        <w:tc>
          <w:tcPr>
            <w:tcW w:type="dxa" w:w="74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Daniel u otro integrante instala desde copia limpia y deja fecha, comandos, salida y defectos.</w:t>
            </w:r>
          </w:p>
        </w:tc>
      </w:tr>
    </w:tbl>
    <w:p>
      <w:pPr>
        <w:spacing w:after="20" w:line="60" w:lineRule="exact"/>
      </w:pPr>
    </w:p>
    <w:p>
      <w:r>
        <w:t>Los comandos definitivos deben extraerse de los archivos reales y ejecutarse. No se añaden rutas /api/pagos ni variables de Mercado Pago: están fuera de alcance y no existen en el código auditado.</w:t>
      </w:r>
    </w:p>
    <w:p>
      <w:pPr>
        <w:pStyle w:val="Heading1"/>
        <w:pageBreakBefore/>
      </w:pPr>
      <w:r>
        <w:t>4 Bloqueos y registro de instalación</w:t>
      </w:r>
    </w:p>
    <w:tbl>
      <w:tblPr>
        <w:tblW w:type="auto" w:w="0"/>
        <w:jc w:val="left"/>
        <w:tblLayout w:type="fixed"/>
        <w:tblLook w:firstColumn="1" w:firstRow="1" w:lastColumn="0" w:lastRow="0" w:noHBand="0" w:noVBand="1" w:val="04A0"/>
      </w:tblPr>
      <w:tblGrid>
        <w:gridCol w:w="2592"/>
        <w:gridCol w:w="3384"/>
        <w:gridCol w:w="3600"/>
      </w:tblGrid>
      <w:tr>
        <w:trPr>
          <w:cantSplit/>
          <w:tblHeader/>
        </w:trPr>
        <w:tc>
          <w:tcPr>
            <w:tcW w:type="dxa" w:w="2592"/>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sz w:val="18"/>
              </w:rPr>
              <w:t>Hallazgo</w:t>
            </w:r>
          </w:p>
        </w:tc>
        <w:tc>
          <w:tcPr>
            <w:tcW w:type="dxa" w:w="3384"/>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sz w:val="18"/>
              </w:rPr>
              <w:t>Evidencia reportada</w:t>
            </w:r>
          </w:p>
        </w:tc>
        <w:tc>
          <w:tcPr>
            <w:tcW w:type="dxa" w:w="3600"/>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sz w:val="18"/>
              </w:rPr>
              <w:t>Tratamiento documental</w:t>
            </w:r>
          </w:p>
        </w:tc>
      </w:tr>
      <w:tr>
        <w:trPr>
          <w:cantSplit/>
        </w:trPr>
        <w:tc>
          <w:tcPr>
            <w:tcW w:type="dxa" w:w="2592"/>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AUD-02 Datos financieros objetivo no implementados</w:t>
            </w:r>
          </w:p>
        </w:tc>
        <w:tc>
          <w:tcPr>
            <w:tcW w:type="dxa" w:w="338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No hay Pago, Liquidacion, ItemLiquidacion ni DatosBancarios; montos Float; billetera permanece.</w:t>
            </w:r>
          </w:p>
        </w:tc>
        <w:tc>
          <w:tcPr>
            <w:tcW w:type="dxa" w:w="360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Diseño propuesto; coordinar con autores de 01/02, excluidos de esta edición.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AUD-03 Entrega reproducible incompleta</w:t>
            </w:r>
          </w:p>
        </w:tc>
        <w:tc>
          <w:tcPr>
            <w:tcW w:type="dxa" w:w="33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No hay README.md, Dockerfile ni Compose en raíz según inspección.</w:t>
            </w:r>
          </w:p>
        </w:tc>
        <w:tc>
          <w:tcPr>
            <w:tcW w:type="dxa" w:w="360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Pendiente técnico; modelo documental no sustituye archivos ejecutables.</w:t>
            </w:r>
          </w:p>
        </w:tc>
      </w:tr>
      <w:tr>
        <w:trPr>
          <w:cantSplit/>
        </w:trPr>
        <w:tc>
          <w:tcPr>
            <w:tcW w:type="dxa" w:w="2592"/>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AUD-04 Reporte de incidencia devuelve 404</w:t>
            </w:r>
          </w:p>
        </w:tc>
        <w:tc>
          <w:tcPr>
            <w:tcW w:type="dxa" w:w="338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incidencia.tsx:78 llama POST /lavados/:id/incidencia; ruta ausente.</w:t>
            </w:r>
          </w:p>
        </w:tc>
        <w:tc>
          <w:tcPr>
            <w:tcW w:type="dxa" w:w="360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Registrar defecto y tarea de corrección; ejecutar regresión después.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AUD-05 Retiro de billetera incompleto</w:t>
            </w:r>
          </w:p>
        </w:tc>
        <w:tc>
          <w:tcPr>
            <w:tcW w:type="dxa" w:w="33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WALLET_ENABLED=false; tablas y endpoints conservados.</w:t>
            </w:r>
          </w:p>
        </w:tc>
        <w:tc>
          <w:tcPr>
            <w:tcW w:type="dxa" w:w="360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HU-06.10 en avance parcial reportado: apagada, no retirada.</w:t>
            </w:r>
          </w:p>
        </w:tc>
      </w:tr>
      <w:tr>
        <w:trPr>
          <w:cantSplit/>
        </w:trPr>
        <w:tc>
          <w:tcPr>
            <w:tcW w:type="dxa" w:w="2592"/>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AUD-08 Tiempo real asimétrico en limpiador</w:t>
            </w:r>
          </w:p>
        </w:tc>
        <w:tc>
          <w:tcPr>
            <w:tcW w:type="dxa" w:w="338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No escucha lavado:estado; emite evento sin listener en backend.</w:t>
            </w:r>
          </w:p>
        </w:tc>
        <w:tc>
          <w:tcPr>
            <w:tcW w:type="dxa" w:w="360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8"/>
              </w:rPr>
              <w:t>Defecto pendiente; separar diagrama objetivo de implementación.</w:t>
            </w:r>
          </w:p>
        </w:tc>
      </w:tr>
    </w:tbl>
    <w:p>
      <w:pPr>
        <w:spacing w:after="20" w:line="60" w:lineRule="exact"/>
      </w:pPr>
    </w:p>
    <w:tbl>
      <w:tblPr>
        <w:tblW w:type="auto" w:w="0"/>
        <w:jc w:val="left"/>
        <w:tblLayout w:type="fixed"/>
        <w:tblLook w:firstColumn="1" w:firstRow="1" w:lastColumn="0" w:lastRow="0" w:noHBand="0" w:noVBand="1" w:val="04A0"/>
      </w:tblPr>
      <w:tblGrid>
        <w:gridCol w:w="2160"/>
        <w:gridCol w:w="7416"/>
      </w:tblGrid>
      <w:tr>
        <w:trPr>
          <w:cantSplit/>
          <w:tblHeader/>
        </w:trPr>
        <w:tc>
          <w:tcPr>
            <w:tcW w:type="dxa" w:w="2160"/>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sz w:val="19"/>
              </w:rPr>
              <w:t>Campo por registrar</w:t>
            </w:r>
          </w:p>
        </w:tc>
        <w:tc>
          <w:tcPr>
            <w:tcW w:type="dxa" w:w="7416"/>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sz w:val="19"/>
              </w:rPr>
              <w:t>Contenido</w:t>
            </w:r>
          </w:p>
        </w:tc>
      </w:tr>
      <w:tr>
        <w:trPr>
          <w:cantSplit/>
        </w:trPr>
        <w:tc>
          <w:tcPr>
            <w:tcW w:type="dxa" w:w="216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Versión instalada</w:t>
            </w:r>
          </w:p>
        </w:tc>
        <w:tc>
          <w:tcPr>
            <w:tcW w:type="dxa" w:w="741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Commit/tag, cambios locales incluidos y responsable de entrega.</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Entorno</w:t>
            </w:r>
          </w:p>
        </w:tc>
        <w:tc>
          <w:tcPr>
            <w:tcW w:type="dxa" w:w="74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SO, dispositivo/emulador, versiones y red; datos aislados.</w:t>
            </w:r>
          </w:p>
        </w:tc>
      </w:tr>
      <w:tr>
        <w:trPr>
          <w:cantSplit/>
        </w:trPr>
        <w:tc>
          <w:tcPr>
            <w:tcW w:type="dxa" w:w="216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Resultado</w:t>
            </w:r>
          </w:p>
        </w:tc>
        <w:tc>
          <w:tcPr>
            <w:tcW w:type="dxa" w:w="741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Comandos y salidas, captura, error y solución; no se completa con resultados supuestos.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Aceptación</w:t>
            </w:r>
          </w:p>
        </w:tc>
        <w:tc>
          <w:tcPr>
            <w:tcW w:type="dxa" w:w="74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Reproducción por otra persona, fecha y hallazgos cerrados o abiertos.</w:t>
            </w:r>
          </w:p>
        </w:tc>
      </w:tr>
    </w:tbl>
    <w:p>
      <w:pPr>
        <w:spacing w:after="20" w:line="60" w:lineRule="exact"/>
      </w:pPr>
    </w:p>
    <w:p>
      <w:r>
        <w:t>No existe evidencia de ejecución para completar esos datos. Este modelo identifica exactamente qué falta. Los problemas de incidencias y tiempo real requieren código y prueba de regresión; no se corrigen editando el manual.</w:t>
      </w:r>
    </w:p>
    <w:p>
      <w:pPr>
        <w:pStyle w:val="Heading2"/>
      </w:pPr>
      <w:r>
        <w:t>Referencias y límites</w:t>
      </w:r>
    </w:p>
    <w:p>
      <w:r>
        <w:rPr>
          <w:sz w:val="17"/>
        </w:rPr>
        <w:t>Fuente técnica principal: Auditoria_Splash_doc-vs-app.pdf, 20 de octubre de 2026, repositorio académico commit 139ddb7 y aplicación commit 932a4b0 más cambios locales. Las capturas aportan observaciones de la revisión del 19 de octubre. Esta actualización contrasta documentos con esa evidencia aportada; no reejecuta el código ni las pruebas y no convierte una inspección en aceptación funcional.</w:t>
      </w:r>
    </w:p>
    <w:p>
      <w:r>
        <w:rPr>
          <w:sz w:val="17"/>
        </w:rPr>
        <w:t>Equipo Splash. Acta v1.2 y CAM-04, 21 de octubre de 2026. Consolidación del alcance sin pasarela, autorizada por el solicitante; aprobación colegiada no registrada.</w:t>
      </w:r>
    </w:p>
    <w:p>
      <w:r>
        <w:rPr>
          <w:sz w:val="17"/>
        </w:rPr>
        <w:t>Daniel Elgueta. Backlog v0.2, 5 de octubre de 2026. Fuente histórica de los 83 IDs; los criterios modificados se identifican en 11 v0.7.</w:t>
      </w:r>
    </w:p>
    <w:p>
      <w:r>
        <w:rPr>
          <w:sz w:val="17"/>
        </w:rPr>
        <w:t>Duoc UC. Guías 2.4 y 2.6 y anexo de artefactos proporcionados al equipo. No se acredita una pauta oficial de puntajes F2 en la auditoría.</w:t>
      </w:r>
    </w:p>
    <w:sectPr w:rsidR="00FC693F" w:rsidRPr="0006063C" w:rsidSect="00034616">
      <w:headerReference w:type="default" r:id="rId9"/>
      <w:footerReference w:type="default" r:id="rId10"/>
      <w:footerReference w:type="first" r:id="rId11"/>
      <w:footerReference w:type="even" r:id="rId12"/>
      <w:pgSz w:w="12240" w:h="15840"/>
      <w:pgMar w:top="1152"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SPL-DEP-001 · v0.7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SPL-DEP-001 · v0.7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SPL-DEP-001 · v0.7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731520" cy="182880"/>
          <wp:docPr id="1" name="Picture 1"/>
          <wp:cNvGraphicFramePr>
            <a:graphicFrameLocks noChangeAspect="1"/>
          </wp:cNvGraphicFramePr>
          <a:graphic>
            <a:graphicData uri="http://schemas.openxmlformats.org/drawingml/2006/picture">
              <pic:pic>
                <pic:nvPicPr>
                  <pic:cNvPr id="0" name="header.png"/>
                  <pic:cNvPicPr/>
                </pic:nvPicPr>
                <pic:blipFill>
                  <a:blip r:embed="rId1"/>
                  <a:stretch>
                    <a:fillRect/>
                  </a:stretch>
                </pic:blipFill>
                <pic:spPr>
                  <a:xfrm>
                    <a:off x="0" y="0"/>
                    <a:ext cx="731520" cy="182880"/>
                  </a:xfrm>
                  <a:prstGeom prst="rect"/>
                </pic:spPr>
              </pic:pic>
            </a:graphicData>
          </a:graphic>
        </wp:inline>
      </w:drawing>
    </w:r>
    <w:r>
      <w:rPr>
        <w:sz w:val="18"/>
      </w:rPr>
      <w:t xml:space="preserve">     Splash  |  Documentación de fase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2F549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80"/>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Instalación y modelo de despliegue de Splash</dc:title>
  <dc:subject/>
  <dc:creator>Equipo Splash</dc:creator>
  <cp:keywords/>
  <dc:description>generated by python-docx</dc:description>
  <cp:lastModifiedBy/>
  <cp:revision>1</cp:revision>
  <dcterms:created xsi:type="dcterms:W3CDTF">2013-12-23T23:15:00Z</dcterms:created>
  <dcterms:modified xsi:type="dcterms:W3CDTF">2013-12-23T23:15:00Z</dcterms:modified>
  <cp:category/>
  <cp:version>0.7</cp:version>
</cp:coreProperties>
</file>