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resultados de Splash</w:t>
      </w:r>
    </w:p>
    <w:p>
      <w:r>
        <w:t>Duoc UC Antonio Varas · Ingeniería en Informática · Capstone PTY4614 · 801-V</w:t>
      </w:r>
    </w:p>
    <w:p>
      <w:r>
        <w:t>SPL-QA-001 · Versión 0.7 · 21 de octubre de 2026</w:t>
        <w:br/>
        <w:t>Responsable: Daniel Elgueta</w:t>
        <w:br/>
        <w:t>Revisión: Kevin Iturra y Diego Cortés</w:t>
        <w:br/>
        <w:t>Estado: Actualización documental por auditoría; verificación funcional pendiente</w:t>
      </w:r>
    </w:p>
    <w:p>
      <w:r>
        <w:t>El plan conserva casos por cada una de las 83 HU y actualiza sus resultados esperados a CAM-04. Los resultados iniciales permanecen No ejecutado. La auditoría inspeccionó código; no ejecutó la suite para evitar alterar la base compartida de demostración.</w:t>
      </w: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p>
      <w:pPr>
        <w:pStyle w:val="Heading1"/>
      </w:pPr>
      <w:r>
        <w:t>1 Alcance y niveles de prueba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Cobertura y registro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Unitarias y backend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Acceso, roles, estados, cálculos y duplicados. Capturas reportan 3 archivos y 15 casos auth/RBAC/admin; conteo y salida actuales por confirmar.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Integración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Cliente, limpiador, API, panel y persistencia: aceptación única, estados, fotografías, confirmación, incidencia y disputa.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Extremo a extremo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Solicitud inmediata y programada sin checkout; validación manual solo cuando exista el módulo, distinguiendo funciones pendientes.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Seguridad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Rol, propiedad, sesiones, Socket.io, secretos, CORS y Q-13; no extrapolar controles HTTP a eventos.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Rendimiento y recuperación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PR-01 a PR-04 sobre entorno aislado definido en 04; metas por ratificar.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Instalación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README y Docker aplicable producidos y reproducidos por otra persona.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Preparación y datos aislados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Preparación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Condición requerida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Versión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Commit y cambios locales declarados; no atribuir resultados de otra versión al criterio CAM-04.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Datos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Copia de SQLite y fotos de prueba; clientes, limpiadores, administradores y subroles sintéticos.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Aislamiento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La suite no debe usar ni modificar la base activa de demostración. Respaldar y reproducir sobre copia antes de ejecutar.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Herramientas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Scripts de package.json, Vitest/Supertest y mecanismo real de prueba de interfaz; no asumir configuración existente en apps.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Roles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Daniel ejecuta y registra; Diego prepara entorno; Kevin revisa criterios; Paul mantiene trazabilidad.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Bloqueos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Si falta regla, endpoint o modelo, marcar Bloqueado o defecto según caso; no simular una operación aprobada.</w:t>
            </w:r>
          </w:p>
        </w:tc>
      </w:tr>
    </w:tbl>
    <w:p>
      <w:pPr>
        <w:spacing w:after="20" w:line="60" w:lineRule="exact"/>
      </w:pP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pPr>
        <w:pStyle w:val="Heading1"/>
        <w:pageBreakBefore/>
      </w:pPr>
      <w:r>
        <w:t>3 Campañas prioritarias por hallazgo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8136"/>
      </w:tblGrid>
      <w:tr>
        <w:trPr>
          <w:cantSplit/>
          <w:tblHeader/>
        </w:trPr>
        <w:tc>
          <w:tcPr>
            <w:tcW w:type="dxa" w:w="14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81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Procedimiento y resultado esperado vigente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CP-AUD04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Invocar reporte de incidencia desde la app en la versión auditada: reproducir 404 de la ruta ausente sobre copia. Tras corregir, comprobar creación autorizada, persistencia y error controlado.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CP-AUD08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Actualizar el servicio desde otro actor: comparar recepción cliente y limpiador. Tras corregir listeners, comprobar actualización sin recarga y control de acceso.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CP-AUD05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Revisar interfaces, flag, rutas y schema de billetera: apagado no equivale a retiro. Después de limpieza, comprobar respaldo, datos y regresión.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CP-AUDLLEGO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Reproducir transición LLEGÓ en el cliente con cambios locales: no debe fallar STATUS_CONFIG. Registrar commit y ejecución; corrección reportada no es prueba aprobada.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CP-Q13</w:t>
            </w:r>
          </w:p>
        </w:tc>
        <w:tc>
          <w:tcPr>
            <w:tcW w:type="dxa" w:w="813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Probar el límite real por ruta y ventana en copia aislada. Confirmar valores, respuesta y reinicio; ver 04.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CP-E2E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Ejecutar desde registro hasta confirmación en solicitud inmediata y agendada; documentar pantalla, API y datos. No declarar terminado si una acción del flujo falla.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4 Pruebas económicas del alcance manual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704"/>
      </w:tblGrid>
      <w:tr>
        <w:trPr>
          <w:cantSplit/>
          <w:tblHeader/>
        </w:trPr>
        <w:tc>
          <w:tcPr>
            <w:tcW w:type="dxa" w:w="18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Familia</w:t>
            </w:r>
          </w:p>
        </w:tc>
        <w:tc>
          <w:tcPr>
            <w:tcW w:type="dxa" w:w="770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Resultado esperado o bloqueo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CP-06.1 y CP-06.2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Evidencia de pago vinculada al servicio y consulta de estado manual. No existe hoy: implementación pendiente; medio y momento por ratificar.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CP-06.3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Finanzas valida recepción externa, guarda responsable y referencia y evita duplicados; un comprobante no confirma automáticamente.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CP-06.4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Política manual de cancelación/devolución debe ratificarse. No probar porcentajes antiguos como regla aprobada ni esperar reembolso automático.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CP-06.5 a CP-06.7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Ganancias referenciales, datos bancarios y liquidación se distinguen. Probar 15/85, elegibilidad, corte y referencia solo con registros implementados.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CP-06.8</w:t>
            </w:r>
          </w:p>
        </w:tc>
        <w:tc>
          <w:tcPr>
            <w:tcW w:type="dxa" w:w="770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Conciliar registros manuales y evidencia externa sin asumir dinero movido por la app; redondeo y estados aprobados antes de medir.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CP-06.9 y CP-06.10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Confirmación 48 h opcional separada de pago; retirada de billetera con respaldo y reversión, no solo flag apagado.</w:t>
            </w:r>
          </w:p>
        </w:tc>
      </w:tr>
    </w:tbl>
    <w:p>
      <w:pPr>
        <w:spacing w:after="20" w:line="60" w:lineRule="exact"/>
      </w:pPr>
    </w:p>
    <w:p>
      <w:r>
        <w:t>Las fichas del anexo Fichas_pruebas_83_HU.md contienen un subcaso por cada criterio vigente. Se mantienen los IDs CP por HU, pero un resultado antiguo de billetera o pasarela no demuestra el cumplimiento manual.</w:t>
      </w:r>
    </w:p>
    <w:p>
      <w:pPr>
        <w:pStyle w:val="Heading1"/>
        <w:pageBreakBefore/>
      </w:pPr>
      <w:r>
        <w:t>5 Rendimiento seguridad y registro de defectos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Preparación y medida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PR-01 Q-06 y Q-09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Script de carga, dataset y equipo pendientes; 10/20/40 usuarios, 20 durante 10 min. Medir p95, errores, throughput y persistencia.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PR-02 Q-07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Dispositivos/receptores y relojes; latencia de posición, caducidad y recuperación; considerar asimetría actual.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PR-03 Q-08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120 sondeos durante 2 h en entorno declarado; ≥119 éxitos como meta propuesta local.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PR-04 Q-10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Respaldo consistente y restauración de datos sintéticos en copia; medir duración e integridad.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PS-01 a PS-05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Propiedad y roles, sesión, Socket.io, secretos/CORS y Q-13. Aportar pasos, entrada y respuesta; no marcar controles como probados por existir middleware.</w:t>
            </w:r>
          </w:p>
        </w:tc>
      </w:tr>
    </w:tbl>
    <w:p>
      <w:pPr>
        <w:spacing w:after="20" w:line="6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Defecto por registrar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Datos requeridos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Identidad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ID, HU/criterio, versión, entorno y severidad.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Reproducción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Pasos, datos, esperado y observado; evidencia sin secretos.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Seguimiento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Responsable, corrección, commit, regresión y estado. No cerrar el defecto al redactar la tarea.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6 Resultados disponibles y cierre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Estado al emitir esta revisión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CP de las 83 HU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ejecutado en este lote; no se aportan resultados CP/EV verificables.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Suite existente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Inspeccionada según auditoría, no ejecutada para este informe; sin salida de consola ni cobertura medida aportadas.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 y PS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ejecutado; faltan entorno, datos y medición.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Instalación independiente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Pendiente de artefactos y reproducción.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Criterio de cierre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Resultado real, versión, ejecutor, revisor y evidencia; defectos críticos cerrados o cambio de alcance aceptado.</w:t>
            </w:r>
          </w:p>
        </w:tc>
      </w:tr>
    </w:tbl>
    <w:p>
      <w:pPr>
        <w:spacing w:after="20" w:line="60" w:lineRule="exact"/>
      </w:pPr>
    </w:p>
    <w:p>
      <w:r>
        <w:t>Campos por completar tras ejecutar: fecha, versión, caso, resultado real, evidencia, defecto, responsable y revisión. La ausencia de datos de ejecución se declara como pendiente, no se rellena retroactivamente.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SPL-QA-001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SPL-QA-001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SPL-QA-001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resultados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